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3" w:firstLineChars="200"/>
        <w:jc w:val="center"/>
        <w:rPr>
          <w:rFonts w:hint="eastAsia" w:ascii="宋体" w:hAnsi="宋体"/>
          <w:b/>
          <w:sz w:val="44"/>
          <w:szCs w:val="44"/>
        </w:rPr>
      </w:pPr>
    </w:p>
    <w:p>
      <w:pPr>
        <w:ind w:firstLine="880" w:firstLineChars="200"/>
        <w:jc w:val="center"/>
        <w:rPr>
          <w:rFonts w:hint="eastAsia" w:ascii="宋体" w:hAnsi="宋体"/>
          <w:sz w:val="44"/>
          <w:szCs w:val="44"/>
        </w:rPr>
      </w:pPr>
    </w:p>
    <w:p>
      <w:pPr>
        <w:spacing w:line="360" w:lineRule="auto"/>
        <w:jc w:val="center"/>
        <w:rPr>
          <w:rFonts w:hint="eastAsia"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pPr>
        <w:spacing w:line="360" w:lineRule="auto"/>
        <w:jc w:val="center"/>
        <w:rPr>
          <w:rFonts w:hint="eastAsia" w:ascii="黑体" w:eastAsia="黑体" w:hAnsiTheme="minorHAnsi" w:cstheme="minorBidi"/>
          <w:b/>
          <w:kern w:val="22"/>
          <w:sz w:val="44"/>
          <w:szCs w:val="44"/>
        </w:rPr>
      </w:pPr>
      <w:r>
        <w:rPr>
          <w:rFonts w:hint="eastAsia" w:ascii="黑体" w:eastAsia="黑体" w:hAnsiTheme="minorHAnsi" w:cstheme="minorBidi"/>
          <w:b/>
          <w:kern w:val="22"/>
          <w:sz w:val="44"/>
          <w:szCs w:val="44"/>
        </w:rPr>
        <w:t>《高光效苹果园建设技术规程》</w:t>
      </w:r>
    </w:p>
    <w:p>
      <w:pPr>
        <w:spacing w:line="360" w:lineRule="auto"/>
        <w:jc w:val="center"/>
        <w:rPr>
          <w:rFonts w:hint="eastAsia"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pPr>
        <w:ind w:firstLine="883" w:firstLineChars="200"/>
        <w:rPr>
          <w:rFonts w:hint="eastAsia" w:ascii="宋体" w:hAnsi="宋体"/>
          <w:b/>
          <w:sz w:val="44"/>
          <w:szCs w:val="44"/>
        </w:rPr>
      </w:pPr>
      <w:r>
        <w:rPr>
          <w:rFonts w:hint="eastAsia" w:ascii="宋体" w:hAnsi="宋体"/>
          <w:b/>
          <w:sz w:val="44"/>
          <w:szCs w:val="44"/>
        </w:rPr>
        <w:t xml:space="preserve">       </w:t>
      </w:r>
    </w:p>
    <w:p>
      <w:pPr>
        <w:ind w:firstLine="883" w:firstLineChars="200"/>
        <w:rPr>
          <w:rFonts w:hint="eastAsia" w:ascii="宋体" w:hAnsi="宋体"/>
          <w:b/>
          <w:sz w:val="44"/>
          <w:szCs w:val="44"/>
        </w:rPr>
      </w:pPr>
    </w:p>
    <w:p>
      <w:pPr>
        <w:ind w:firstLine="883" w:firstLineChars="200"/>
        <w:rPr>
          <w:rFonts w:hint="eastAsia" w:ascii="宋体" w:hAnsi="宋体"/>
          <w:b/>
          <w:sz w:val="44"/>
          <w:szCs w:val="44"/>
        </w:rPr>
      </w:pPr>
    </w:p>
    <w:p>
      <w:pPr>
        <w:ind w:firstLine="883" w:firstLineChars="200"/>
        <w:rPr>
          <w:rFonts w:hint="eastAsia" w:ascii="宋体" w:hAnsi="宋体"/>
          <w:b/>
          <w:sz w:val="44"/>
          <w:szCs w:val="44"/>
        </w:rPr>
      </w:pPr>
    </w:p>
    <w:p>
      <w:pPr>
        <w:ind w:firstLine="883" w:firstLineChars="200"/>
        <w:rPr>
          <w:rFonts w:hint="eastAsia" w:ascii="宋体" w:hAnsi="宋体"/>
          <w:b/>
          <w:sz w:val="44"/>
          <w:szCs w:val="44"/>
        </w:rPr>
      </w:pPr>
    </w:p>
    <w:p>
      <w:pPr>
        <w:ind w:firstLine="883" w:firstLineChars="200"/>
        <w:rPr>
          <w:rFonts w:hint="eastAsia" w:ascii="宋体" w:hAnsi="宋体"/>
          <w:b/>
          <w:sz w:val="44"/>
          <w:szCs w:val="44"/>
        </w:rPr>
      </w:pPr>
    </w:p>
    <w:p>
      <w:pPr>
        <w:ind w:firstLine="883" w:firstLineChars="200"/>
        <w:rPr>
          <w:rFonts w:hint="eastAsia" w:ascii="宋体" w:hAnsi="宋体"/>
          <w:b/>
          <w:sz w:val="44"/>
          <w:szCs w:val="44"/>
        </w:rPr>
      </w:pPr>
    </w:p>
    <w:p>
      <w:pPr>
        <w:ind w:firstLine="883" w:firstLineChars="200"/>
        <w:rPr>
          <w:rFonts w:hint="eastAsia" w:ascii="宋体" w:hAnsi="宋体"/>
          <w:b/>
          <w:sz w:val="44"/>
          <w:szCs w:val="44"/>
        </w:rPr>
      </w:pPr>
    </w:p>
    <w:p>
      <w:pPr>
        <w:ind w:firstLine="883" w:firstLineChars="200"/>
        <w:rPr>
          <w:rFonts w:hint="eastAsia" w:ascii="宋体" w:hAnsi="宋体"/>
          <w:b/>
          <w:sz w:val="44"/>
          <w:szCs w:val="44"/>
        </w:rPr>
      </w:pPr>
    </w:p>
    <w:p>
      <w:pPr>
        <w:ind w:firstLine="883" w:firstLineChars="200"/>
        <w:rPr>
          <w:rFonts w:hint="eastAsia" w:ascii="宋体" w:hAnsi="宋体"/>
          <w:b/>
          <w:sz w:val="44"/>
          <w:szCs w:val="44"/>
        </w:rPr>
      </w:pPr>
    </w:p>
    <w:p>
      <w:pPr>
        <w:ind w:firstLine="883" w:firstLineChars="200"/>
        <w:rPr>
          <w:rFonts w:hint="eastAsia" w:ascii="宋体" w:hAnsi="宋体"/>
          <w:b/>
          <w:sz w:val="44"/>
          <w:szCs w:val="44"/>
        </w:rPr>
      </w:pPr>
    </w:p>
    <w:p>
      <w:pPr>
        <w:ind w:firstLine="883" w:firstLineChars="200"/>
        <w:rPr>
          <w:rFonts w:hint="eastAsia" w:ascii="宋体" w:hAnsi="宋体"/>
          <w:b/>
          <w:sz w:val="44"/>
          <w:szCs w:val="44"/>
        </w:rPr>
      </w:pPr>
    </w:p>
    <w:p>
      <w:pPr>
        <w:spacing w:line="360" w:lineRule="auto"/>
        <w:jc w:val="center"/>
        <w:rPr>
          <w:rFonts w:ascii="宋体"/>
          <w:b/>
          <w:kern w:val="22"/>
          <w:sz w:val="10"/>
          <w:szCs w:val="10"/>
        </w:rPr>
      </w:pPr>
      <w:r>
        <w:rPr>
          <w:rFonts w:hint="eastAsia" w:ascii="宋体" w:hAnsi="宋体"/>
          <w:b/>
          <w:kern w:val="22"/>
          <w:sz w:val="32"/>
          <w:szCs w:val="32"/>
        </w:rPr>
        <w:t>编制单位：山西农业大学</w:t>
      </w:r>
    </w:p>
    <w:p>
      <w:pPr>
        <w:jc w:val="center"/>
        <w:rPr>
          <w:rFonts w:ascii="宋体"/>
          <w:b/>
          <w:bCs/>
          <w:sz w:val="32"/>
          <w:szCs w:val="32"/>
        </w:rPr>
      </w:pPr>
      <w:r>
        <w:rPr>
          <w:rFonts w:ascii="宋体" w:hAnsi="宋体" w:cs="宋体"/>
          <w:b/>
          <w:bCs/>
          <w:sz w:val="32"/>
          <w:szCs w:val="32"/>
        </w:rPr>
        <w:t xml:space="preserve"> </w:t>
      </w:r>
      <w:r>
        <w:rPr>
          <w:rFonts w:hint="eastAsia" w:ascii="宋体" w:hAnsi="宋体" w:cs="宋体"/>
          <w:b/>
          <w:bCs/>
          <w:sz w:val="32"/>
          <w:szCs w:val="32"/>
        </w:rPr>
        <w:t>二〇二四年</w:t>
      </w:r>
      <w:r>
        <w:rPr>
          <w:rFonts w:hint="eastAsia" w:ascii="宋体" w:hAnsi="宋体" w:cs="宋体"/>
          <w:b/>
          <w:bCs/>
          <w:sz w:val="32"/>
          <w:szCs w:val="32"/>
          <w:lang w:val="en-US" w:eastAsia="zh-CN"/>
        </w:rPr>
        <w:t>三</w:t>
      </w:r>
      <w:r>
        <w:rPr>
          <w:rFonts w:hint="eastAsia" w:ascii="宋体" w:hAnsi="宋体" w:cs="宋体"/>
          <w:b/>
          <w:bCs/>
          <w:sz w:val="32"/>
          <w:szCs w:val="32"/>
        </w:rPr>
        <w:t>月</w:t>
      </w:r>
    </w:p>
    <w:p>
      <w:pPr>
        <w:ind w:firstLine="640" w:firstLineChars="200"/>
        <w:jc w:val="center"/>
        <w:rPr>
          <w:rFonts w:hint="eastAsia" w:ascii="宋体" w:hAnsi="宋体"/>
          <w:sz w:val="32"/>
          <w:szCs w:val="32"/>
        </w:rPr>
      </w:pPr>
    </w:p>
    <w:p>
      <w:pPr>
        <w:jc w:val="left"/>
        <w:rPr>
          <w:rFonts w:hint="eastAsia"/>
          <w:sz w:val="28"/>
        </w:rPr>
      </w:pPr>
    </w:p>
    <w:p>
      <w:pPr>
        <w:jc w:val="both"/>
        <w:rPr>
          <w:rFonts w:hint="eastAsia" w:ascii="宋体" w:hAnsi="宋体"/>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
          <w:sz w:val="30"/>
          <w:szCs w:val="30"/>
        </w:rPr>
      </w:pPr>
      <w:r>
        <w:rPr>
          <w:rFonts w:hint="eastAsia" w:ascii="宋体" w:hAnsi="宋体"/>
          <w:b/>
          <w:sz w:val="30"/>
          <w:szCs w:val="30"/>
        </w:rPr>
        <w:t>山西省地方标准</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
          <w:sz w:val="30"/>
          <w:szCs w:val="30"/>
        </w:rPr>
      </w:pPr>
      <w:r>
        <w:rPr>
          <w:rFonts w:hint="eastAsia" w:ascii="宋体" w:hAnsi="宋体"/>
          <w:b/>
          <w:sz w:val="30"/>
          <w:szCs w:val="30"/>
        </w:rPr>
        <w:t xml:space="preserve">   《高光效苹果园建设技术规程》</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b/>
          <w:sz w:val="30"/>
          <w:szCs w:val="30"/>
        </w:rPr>
      </w:pPr>
      <w:r>
        <w:rPr>
          <w:rFonts w:hint="eastAsia" w:ascii="宋体" w:hAnsi="宋体"/>
          <w:b/>
          <w:sz w:val="30"/>
          <w:szCs w:val="30"/>
        </w:rPr>
        <w:t xml:space="preserve"> 编制说明</w:t>
      </w:r>
    </w:p>
    <w:p>
      <w:pPr>
        <w:spacing w:line="360" w:lineRule="auto"/>
        <w:ind w:firstLine="480" w:firstLineChars="200"/>
        <w:outlineLvl w:val="0"/>
        <w:rPr>
          <w:rFonts w:hint="eastAsia" w:ascii="黑体" w:eastAsia="黑体"/>
          <w:sz w:val="24"/>
        </w:rPr>
      </w:pPr>
    </w:p>
    <w:p>
      <w:pPr>
        <w:spacing w:line="360" w:lineRule="auto"/>
        <w:ind w:firstLine="480" w:firstLineChars="200"/>
        <w:outlineLvl w:val="0"/>
        <w:rPr>
          <w:rFonts w:ascii="黑体" w:eastAsia="黑体"/>
          <w:sz w:val="24"/>
        </w:rPr>
      </w:pPr>
      <w:r>
        <w:rPr>
          <w:rFonts w:hint="eastAsia" w:ascii="黑体" w:eastAsia="黑体"/>
          <w:sz w:val="24"/>
        </w:rPr>
        <w:t>一、工作简况</w:t>
      </w:r>
    </w:p>
    <w:p>
      <w:pPr>
        <w:spacing w:line="360" w:lineRule="auto"/>
        <w:ind w:left="465"/>
        <w:outlineLvl w:val="1"/>
        <w:rPr>
          <w:rFonts w:ascii="楷体_GB2312" w:eastAsia="楷体_GB2312"/>
          <w:sz w:val="24"/>
        </w:rPr>
      </w:pPr>
      <w:r>
        <w:rPr>
          <w:rFonts w:ascii="楷体_GB2312" w:eastAsia="楷体_GB2312"/>
          <w:sz w:val="24"/>
        </w:rPr>
        <w:t>1</w:t>
      </w:r>
      <w:r>
        <w:rPr>
          <w:rFonts w:hint="eastAsia" w:ascii="楷体_GB2312" w:eastAsia="楷体_GB2312"/>
          <w:sz w:val="24"/>
        </w:rPr>
        <w:t>任务来源</w:t>
      </w:r>
    </w:p>
    <w:p>
      <w:pPr>
        <w:spacing w:line="360" w:lineRule="auto"/>
        <w:ind w:firstLine="480" w:firstLineChars="200"/>
        <w:jc w:val="left"/>
        <w:outlineLvl w:val="1"/>
        <w:rPr>
          <w:rFonts w:hint="eastAsia" w:ascii="仿宋_GB2312" w:hAnsi="宋体" w:eastAsia="仿宋_GB2312"/>
          <w:sz w:val="24"/>
        </w:rPr>
      </w:pPr>
      <w:r>
        <w:rPr>
          <w:rFonts w:hint="eastAsia" w:ascii="仿宋_GB2312" w:hAnsi="宋体" w:eastAsia="仿宋_GB2312"/>
          <w:sz w:val="24"/>
        </w:rPr>
        <w:t>根据山西省市场监督管理局关于</w:t>
      </w:r>
      <w:r>
        <w:rPr>
          <w:rFonts w:ascii="仿宋_GB2312" w:hAnsi="宋体" w:eastAsia="仿宋_GB2312"/>
          <w:sz w:val="24"/>
        </w:rPr>
        <w:t>2022</w:t>
      </w:r>
      <w:r>
        <w:rPr>
          <w:rFonts w:hint="eastAsia" w:ascii="仿宋_GB2312" w:hAnsi="宋体" w:eastAsia="仿宋_GB2312"/>
          <w:sz w:val="24"/>
        </w:rPr>
        <w:t>年度省级地方标准复审结论公告（山西省地方标准公告</w:t>
      </w:r>
      <w:r>
        <w:rPr>
          <w:rFonts w:ascii="仿宋_GB2312" w:hAnsi="宋体" w:eastAsia="仿宋_GB2312"/>
          <w:sz w:val="24"/>
        </w:rPr>
        <w:t>2022</w:t>
      </w:r>
      <w:r>
        <w:rPr>
          <w:rFonts w:hint="eastAsia" w:ascii="仿宋_GB2312" w:hAnsi="宋体" w:eastAsia="仿宋_GB2312"/>
          <w:sz w:val="24"/>
        </w:rPr>
        <w:t>年第</w:t>
      </w:r>
      <w:r>
        <w:rPr>
          <w:rFonts w:ascii="仿宋_GB2312" w:hAnsi="宋体" w:eastAsia="仿宋_GB2312"/>
          <w:sz w:val="24"/>
        </w:rPr>
        <w:t>20</w:t>
      </w:r>
      <w:r>
        <w:rPr>
          <w:rFonts w:hint="eastAsia" w:ascii="仿宋_GB2312" w:hAnsi="宋体" w:eastAsia="仿宋_GB2312"/>
          <w:sz w:val="24"/>
        </w:rPr>
        <w:t>号）要求，山西省农业农村厅等单位组织修订地方标准项目。经审查，《高光效苹果园建设技术规程》</w:t>
      </w:r>
      <w:r>
        <w:rPr>
          <w:rFonts w:ascii="仿宋_GB2312" w:hAnsi="宋体" w:eastAsia="仿宋_GB2312"/>
          <w:sz w:val="24"/>
        </w:rPr>
        <w:t>DB14/T</w:t>
      </w:r>
      <w:r>
        <w:rPr>
          <w:rFonts w:hint="eastAsia" w:ascii="仿宋_GB2312" w:hAnsi="宋体" w:eastAsia="仿宋_GB2312"/>
          <w:sz w:val="24"/>
        </w:rPr>
        <w:t>933</w:t>
      </w:r>
      <w:r>
        <w:rPr>
          <w:rFonts w:ascii="仿宋_GB2312" w:hAnsi="宋体" w:eastAsia="仿宋_GB2312"/>
          <w:sz w:val="24"/>
        </w:rPr>
        <w:t>-201</w:t>
      </w:r>
      <w:r>
        <w:rPr>
          <w:rFonts w:hint="eastAsia" w:ascii="仿宋_GB2312" w:hAnsi="宋体" w:eastAsia="仿宋_GB2312"/>
          <w:sz w:val="24"/>
        </w:rPr>
        <w:t>4列为山西省地方标准修订计划，本标准由山西省农业标准化技术委员会（</w:t>
      </w:r>
      <w:r>
        <w:rPr>
          <w:rFonts w:ascii="仿宋_GB2312" w:hAnsi="宋体" w:eastAsia="仿宋_GB2312"/>
          <w:sz w:val="24"/>
        </w:rPr>
        <w:t>SXS/TC19</w:t>
      </w:r>
      <w:r>
        <w:rPr>
          <w:rFonts w:hint="eastAsia" w:ascii="仿宋_GB2312" w:hAnsi="宋体" w:eastAsia="仿宋_GB2312"/>
          <w:sz w:val="24"/>
        </w:rPr>
        <w:t>）归口。</w:t>
      </w:r>
    </w:p>
    <w:p>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苹果是山西省特色优势产业，现有栽培面积500万亩，目前大面积成龄果园普遍存在树冠郁闭、光照恶化、品质下降等问题，影响了产业的健康发展。该标准化修订主要针对目前苹果生产实际问题，通过优化苹果高光效果园建设技术规程主要技术参数，进一步完善苹果高光效树果园建设技术，实现改善果园光照、提高果园产量、改善果实品质，增加果园综合经济效益的技术经济目标，引领我省苹果优质栽培产业技术升级。</w:t>
      </w:r>
    </w:p>
    <w:p>
      <w:pPr>
        <w:spacing w:line="360" w:lineRule="auto"/>
        <w:ind w:firstLine="480" w:firstLineChars="200"/>
        <w:jc w:val="left"/>
        <w:outlineLvl w:val="1"/>
        <w:rPr>
          <w:rFonts w:ascii="仿宋_GB2312" w:hAnsi="宋体" w:eastAsia="仿宋_GB2312"/>
          <w:sz w:val="24"/>
        </w:rPr>
      </w:pPr>
      <w:r>
        <w:rPr>
          <w:rFonts w:hint="eastAsia" w:ascii="仿宋_GB2312" w:hAnsi="宋体" w:eastAsia="仿宋_GB2312"/>
          <w:sz w:val="24"/>
        </w:rPr>
        <w:t>2011年以来，山西农业大学（山西省农业科学院）园艺学院依托国家重点研发项目“苹果高光效树形构建技术研究与示范”、山西省科技重点研发项目研究课题“乔化苹果高光效树改造关键技术研究”、“矮化苹果简约栽培关键技术研究”、 山西省水果产业技术体系建设重视项目“苹果优质高效生产关键技术研究”、 山西省农业科技推广示范引领工程项目“晋南苹果高光效树形示范基地建设”系列示范项目，在苹果高光效果园适地栽培、品种遴选、建园模式、整形修剪、花果管理等领域形成了系列研究成果，制定了《高光效苹果园建设技术规程》（</w:t>
      </w:r>
      <w:r>
        <w:rPr>
          <w:rFonts w:ascii="仿宋_GB2312" w:hAnsi="宋体" w:eastAsia="仿宋_GB2312"/>
          <w:sz w:val="24"/>
        </w:rPr>
        <w:t>DB14/T</w:t>
      </w:r>
      <w:r>
        <w:rPr>
          <w:rFonts w:hint="eastAsia" w:ascii="仿宋_GB2312" w:hAnsi="宋体" w:eastAsia="仿宋_GB2312"/>
          <w:sz w:val="24"/>
        </w:rPr>
        <w:t>933</w:t>
      </w:r>
      <w:r>
        <w:rPr>
          <w:rFonts w:ascii="仿宋_GB2312" w:hAnsi="宋体" w:eastAsia="仿宋_GB2312"/>
          <w:sz w:val="24"/>
        </w:rPr>
        <w:t>-201</w:t>
      </w:r>
      <w:r>
        <w:rPr>
          <w:rFonts w:hint="eastAsia" w:ascii="仿宋_GB2312" w:hAnsi="宋体" w:eastAsia="仿宋_GB2312"/>
          <w:sz w:val="24"/>
        </w:rPr>
        <w:t>4）。此次标准修订，将进一步增补新的内容，修订部分技术参数，以适应我省现代果业的发展。</w:t>
      </w:r>
    </w:p>
    <w:p>
      <w:pPr>
        <w:spacing w:line="360" w:lineRule="auto"/>
        <w:ind w:left="465"/>
        <w:outlineLvl w:val="1"/>
        <w:rPr>
          <w:rFonts w:ascii="仿宋_GB2312" w:hAnsi="宋体" w:eastAsia="仿宋_GB2312"/>
          <w:sz w:val="24"/>
        </w:rPr>
      </w:pPr>
      <w:r>
        <w:rPr>
          <w:rFonts w:ascii="仿宋_GB2312" w:hAnsi="宋体" w:eastAsia="仿宋_GB2312"/>
          <w:sz w:val="24"/>
        </w:rPr>
        <w:t xml:space="preserve">2 </w:t>
      </w:r>
      <w:r>
        <w:rPr>
          <w:rFonts w:hint="eastAsia" w:ascii="仿宋_GB2312" w:hAnsi="宋体" w:eastAsia="仿宋_GB2312"/>
          <w:sz w:val="24"/>
        </w:rPr>
        <w:t>起草单位和主要起草人</w:t>
      </w:r>
    </w:p>
    <w:p>
      <w:pPr>
        <w:spacing w:line="360" w:lineRule="auto"/>
        <w:ind w:firstLine="480" w:firstLineChars="200"/>
        <w:jc w:val="left"/>
        <w:outlineLvl w:val="1"/>
        <w:rPr>
          <w:rFonts w:hint="eastAsia" w:ascii="仿宋_GB2312" w:hAnsi="宋体" w:eastAsia="仿宋_GB2312"/>
          <w:sz w:val="24"/>
        </w:rPr>
      </w:pPr>
      <w:r>
        <w:rPr>
          <w:rFonts w:hint="eastAsia" w:ascii="仿宋_GB2312" w:hAnsi="宋体" w:eastAsia="仿宋_GB2312"/>
          <w:sz w:val="24"/>
        </w:rPr>
        <w:t>起草任务由山西农业大学实施。</w:t>
      </w:r>
    </w:p>
    <w:p>
      <w:pPr>
        <w:spacing w:line="360" w:lineRule="auto"/>
        <w:ind w:firstLine="480" w:firstLineChars="200"/>
        <w:jc w:val="left"/>
        <w:outlineLvl w:val="1"/>
        <w:rPr>
          <w:rFonts w:hint="eastAsia" w:ascii="仿宋_GB2312" w:hAnsi="宋体" w:eastAsia="仿宋_GB2312"/>
          <w:sz w:val="24"/>
        </w:rPr>
      </w:pPr>
    </w:p>
    <w:p>
      <w:pPr>
        <w:spacing w:line="360" w:lineRule="auto"/>
        <w:ind w:firstLine="480" w:firstLineChars="200"/>
        <w:jc w:val="left"/>
        <w:outlineLvl w:val="1"/>
        <w:rPr>
          <w:rFonts w:hint="eastAsia" w:ascii="仿宋_GB2312" w:hAnsi="宋体" w:eastAsia="仿宋_GB2312"/>
          <w:sz w:val="24"/>
        </w:rPr>
      </w:pPr>
    </w:p>
    <w:p>
      <w:pPr>
        <w:spacing w:line="360" w:lineRule="auto"/>
        <w:ind w:firstLine="480" w:firstLineChars="200"/>
        <w:jc w:val="center"/>
        <w:outlineLvl w:val="1"/>
        <w:rPr>
          <w:rFonts w:ascii="??_GB2312" w:hAnsi="宋体" w:eastAsia="Times New Roman"/>
          <w:sz w:val="24"/>
        </w:rPr>
      </w:pPr>
      <w:r>
        <w:rPr>
          <w:rFonts w:hint="eastAsia" w:ascii="??_GB2312" w:hAnsi="宋体"/>
          <w:sz w:val="24"/>
        </w:rPr>
        <w:t>表1    技术规程修订</w:t>
      </w:r>
      <w:r>
        <w:rPr>
          <w:rFonts w:ascii="??_GB2312" w:hAnsi="宋体" w:eastAsia="Times New Roman"/>
          <w:sz w:val="24"/>
        </w:rPr>
        <w:t>主要起草人信息</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993"/>
        <w:gridCol w:w="1701"/>
        <w:gridCol w:w="2693"/>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姓名</w:t>
            </w:r>
          </w:p>
        </w:tc>
        <w:tc>
          <w:tcPr>
            <w:tcW w:w="993"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性别</w:t>
            </w:r>
          </w:p>
        </w:tc>
        <w:tc>
          <w:tcPr>
            <w:tcW w:w="1701"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职务</w:t>
            </w:r>
            <w:r>
              <w:rPr>
                <w:rFonts w:ascii="仿宋" w:hAnsi="仿宋" w:eastAsia="仿宋" w:cs="Courier New"/>
                <w:sz w:val="24"/>
              </w:rPr>
              <w:t>/</w:t>
            </w:r>
            <w:r>
              <w:rPr>
                <w:rFonts w:hint="eastAsia" w:ascii="仿宋" w:hAnsi="仿宋" w:eastAsia="仿宋" w:cs="Courier New"/>
                <w:sz w:val="24"/>
              </w:rPr>
              <w:t>职称</w:t>
            </w:r>
          </w:p>
        </w:tc>
        <w:tc>
          <w:tcPr>
            <w:tcW w:w="2693"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工作单位</w:t>
            </w:r>
          </w:p>
        </w:tc>
        <w:tc>
          <w:tcPr>
            <w:tcW w:w="1893"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牛自勉</w:t>
            </w:r>
          </w:p>
        </w:tc>
        <w:tc>
          <w:tcPr>
            <w:tcW w:w="993"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男</w:t>
            </w:r>
          </w:p>
        </w:tc>
        <w:tc>
          <w:tcPr>
            <w:tcW w:w="1701"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研究员</w:t>
            </w:r>
          </w:p>
        </w:tc>
        <w:tc>
          <w:tcPr>
            <w:tcW w:w="2693"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山西农业大学</w:t>
            </w:r>
          </w:p>
        </w:tc>
        <w:tc>
          <w:tcPr>
            <w:tcW w:w="1893"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蔚露</w:t>
            </w:r>
          </w:p>
        </w:tc>
        <w:tc>
          <w:tcPr>
            <w:tcW w:w="993"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女</w:t>
            </w:r>
          </w:p>
        </w:tc>
        <w:tc>
          <w:tcPr>
            <w:tcW w:w="1701"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副研究员</w:t>
            </w:r>
          </w:p>
        </w:tc>
        <w:tc>
          <w:tcPr>
            <w:tcW w:w="2693"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山西农业大学</w:t>
            </w:r>
          </w:p>
        </w:tc>
        <w:tc>
          <w:tcPr>
            <w:tcW w:w="1893"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标准起草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trPr>
        <w:tc>
          <w:tcPr>
            <w:tcW w:w="1242"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谢鹏</w:t>
            </w:r>
          </w:p>
        </w:tc>
        <w:tc>
          <w:tcPr>
            <w:tcW w:w="993"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男</w:t>
            </w:r>
          </w:p>
        </w:tc>
        <w:tc>
          <w:tcPr>
            <w:tcW w:w="1701"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助理研究员</w:t>
            </w:r>
          </w:p>
        </w:tc>
        <w:tc>
          <w:tcPr>
            <w:tcW w:w="2693"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山西农业大学</w:t>
            </w:r>
          </w:p>
        </w:tc>
        <w:tc>
          <w:tcPr>
            <w:tcW w:w="1893"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李志强</w:t>
            </w:r>
          </w:p>
        </w:tc>
        <w:tc>
          <w:tcPr>
            <w:tcW w:w="993"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男</w:t>
            </w:r>
          </w:p>
        </w:tc>
        <w:tc>
          <w:tcPr>
            <w:tcW w:w="1701"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副研究员</w:t>
            </w:r>
          </w:p>
        </w:tc>
        <w:tc>
          <w:tcPr>
            <w:tcW w:w="2693"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山西农业大学</w:t>
            </w:r>
          </w:p>
        </w:tc>
        <w:tc>
          <w:tcPr>
            <w:tcW w:w="1893"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试验验证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闫万丽</w:t>
            </w:r>
          </w:p>
        </w:tc>
        <w:tc>
          <w:tcPr>
            <w:tcW w:w="993"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女</w:t>
            </w:r>
          </w:p>
        </w:tc>
        <w:tc>
          <w:tcPr>
            <w:tcW w:w="1701"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助理研究员</w:t>
            </w:r>
          </w:p>
        </w:tc>
        <w:tc>
          <w:tcPr>
            <w:tcW w:w="2693"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山西农业大学</w:t>
            </w:r>
          </w:p>
        </w:tc>
        <w:tc>
          <w:tcPr>
            <w:tcW w:w="1893" w:type="dxa"/>
            <w:tcBorders>
              <w:top w:val="single" w:color="auto" w:sz="4" w:space="0"/>
              <w:left w:val="single" w:color="auto" w:sz="4" w:space="0"/>
              <w:bottom w:val="single" w:color="auto" w:sz="4" w:space="0"/>
              <w:right w:val="single" w:color="auto" w:sz="4" w:space="0"/>
            </w:tcBorders>
            <w:noWrap w:val="0"/>
            <w:vAlign w:val="top"/>
          </w:tcPr>
          <w:p>
            <w:pPr>
              <w:spacing w:line="400" w:lineRule="exact"/>
              <w:jc w:val="center"/>
              <w:rPr>
                <w:rFonts w:ascii="仿宋" w:hAnsi="仿宋" w:eastAsia="仿宋" w:cs="Courier New"/>
                <w:sz w:val="24"/>
              </w:rPr>
            </w:pPr>
            <w:r>
              <w:rPr>
                <w:rFonts w:hint="eastAsia" w:ascii="仿宋" w:hAnsi="仿宋" w:eastAsia="仿宋" w:cs="Courier New"/>
                <w:sz w:val="24"/>
              </w:rPr>
              <w:t>现场调研</w:t>
            </w:r>
          </w:p>
        </w:tc>
      </w:tr>
    </w:tbl>
    <w:p>
      <w:pPr>
        <w:spacing w:line="360" w:lineRule="auto"/>
        <w:ind w:firstLine="640" w:firstLineChars="200"/>
        <w:rPr>
          <w:rFonts w:hint="eastAsia" w:ascii="仿宋_GB2312" w:hAnsi="宋体" w:eastAsia="仿宋_GB2312"/>
          <w:sz w:val="32"/>
          <w:szCs w:val="32"/>
        </w:rPr>
      </w:pPr>
    </w:p>
    <w:p>
      <w:pPr>
        <w:spacing w:line="360" w:lineRule="auto"/>
        <w:ind w:firstLine="480" w:firstLineChars="200"/>
        <w:outlineLvl w:val="0"/>
        <w:rPr>
          <w:rFonts w:ascii="楷体" w:hAnsi="楷体" w:eastAsia="楷体" w:cs="Courier New"/>
          <w:sz w:val="28"/>
          <w:szCs w:val="28"/>
        </w:rPr>
      </w:pPr>
      <w:r>
        <w:rPr>
          <w:rFonts w:hint="eastAsia" w:ascii="黑体" w:eastAsia="黑体"/>
          <w:sz w:val="24"/>
        </w:rPr>
        <w:t>二、修订标准的必要性和意义</w:t>
      </w:r>
    </w:p>
    <w:p>
      <w:pPr>
        <w:spacing w:line="440" w:lineRule="exact"/>
        <w:ind w:firstLine="480" w:firstLineChars="200"/>
        <w:jc w:val="left"/>
        <w:rPr>
          <w:rFonts w:hint="eastAsia" w:ascii="仿宋_GB2312" w:hAnsi="宋体" w:eastAsia="仿宋_GB2312"/>
          <w:sz w:val="24"/>
        </w:rPr>
      </w:pPr>
      <w:r>
        <w:rPr>
          <w:rFonts w:hint="eastAsia" w:ascii="仿宋_GB2312" w:hAnsi="宋体" w:eastAsia="仿宋_GB2312"/>
          <w:sz w:val="24"/>
        </w:rPr>
        <w:t>苹果是山西省的特色农业产业，也是不少地区农民脱贫致富振兴乡村的主导产业，受到了省委、省政府有关领导的高度重视，指出山西省苹果产业发展应该走差异化、高品质发展路线，把小苹果做成农民的开心果和致富果，以产业振兴带动乡村振兴。</w:t>
      </w:r>
    </w:p>
    <w:p>
      <w:pPr>
        <w:spacing w:line="440" w:lineRule="exact"/>
        <w:ind w:firstLine="480" w:firstLineChars="200"/>
        <w:jc w:val="left"/>
        <w:rPr>
          <w:rFonts w:ascii="仿宋_GB2312" w:hAnsi="宋体" w:eastAsia="仿宋_GB2312"/>
          <w:sz w:val="24"/>
        </w:rPr>
      </w:pPr>
      <w:r>
        <w:rPr>
          <w:rFonts w:hint="eastAsia" w:ascii="仿宋_GB2312" w:hAnsi="宋体" w:eastAsia="仿宋_GB2312"/>
          <w:sz w:val="24"/>
        </w:rPr>
        <w:t>高光效苹果园建设技术规程，主要针对山西省优势苹果产区大面积成龄苹果园普遍出现的果园郁闭、品种退还问题而提出的。</w:t>
      </w:r>
      <w:r>
        <w:rPr>
          <w:rFonts w:ascii="仿宋_GB2312" w:hAnsi="宋体" w:eastAsia="仿宋_GB2312"/>
          <w:sz w:val="24"/>
        </w:rPr>
        <w:t>2014</w:t>
      </w:r>
      <w:r>
        <w:rPr>
          <w:rFonts w:hint="eastAsia" w:ascii="仿宋_GB2312" w:hAnsi="宋体" w:eastAsia="仿宋_GB2312"/>
          <w:sz w:val="24"/>
        </w:rPr>
        <w:t>标准发布以来先后，在我省运城市、临汾市、晋中市苹果主产区得到大面积示范应用，成为我省及西北地区陕西省、河北省、北京市等地市苹果主产区苹果高光效果园建设的技术依托，为产业提质增发挥了作用。</w:t>
      </w:r>
    </w:p>
    <w:p>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本标准发布</w:t>
      </w:r>
      <w:r>
        <w:rPr>
          <w:rFonts w:ascii="仿宋_GB2312" w:hAnsi="宋体" w:eastAsia="仿宋_GB2312"/>
          <w:sz w:val="24"/>
        </w:rPr>
        <w:t>10</w:t>
      </w:r>
      <w:r>
        <w:rPr>
          <w:rFonts w:hint="eastAsia" w:ascii="仿宋_GB2312" w:hAnsi="宋体" w:eastAsia="仿宋_GB2312"/>
          <w:sz w:val="24"/>
        </w:rPr>
        <w:t>年以来，随着苹果树龄增加和相关研究的技术更新，原有的技术参数部分内容需要更新新的数据；同时随着现代果园机械辅助作业等新技术出现，也需要增补新的技术内容。因此，为了我省及我国苹果高光效果园可持续高质量发展，需要及时对原有标准进行修订，进而指导我省特色优势苹果产业的有序发展。</w:t>
      </w:r>
    </w:p>
    <w:p>
      <w:pPr>
        <w:spacing w:line="360" w:lineRule="auto"/>
        <w:ind w:firstLine="480" w:firstLineChars="200"/>
        <w:outlineLvl w:val="0"/>
        <w:rPr>
          <w:rFonts w:ascii="黑体" w:eastAsia="黑体"/>
          <w:sz w:val="24"/>
        </w:rPr>
      </w:pPr>
      <w:r>
        <w:rPr>
          <w:rFonts w:hint="eastAsia" w:ascii="黑体" w:eastAsia="黑体"/>
          <w:sz w:val="24"/>
        </w:rPr>
        <w:t>三、主要修订工作过程</w:t>
      </w:r>
    </w:p>
    <w:p>
      <w:pPr>
        <w:spacing w:line="400" w:lineRule="exact"/>
        <w:ind w:firstLine="480" w:firstLineChars="200"/>
        <w:rPr>
          <w:rFonts w:eastAsia="仿宋_GB2312"/>
          <w:bCs/>
          <w:sz w:val="24"/>
        </w:rPr>
      </w:pPr>
      <w:r>
        <w:rPr>
          <w:rFonts w:eastAsia="仿宋_GB2312"/>
          <w:bCs/>
          <w:sz w:val="24"/>
        </w:rPr>
        <w:t>1</w:t>
      </w:r>
      <w:r>
        <w:rPr>
          <w:rFonts w:hint="eastAsia" w:eastAsia="仿宋_GB2312"/>
          <w:bCs/>
          <w:sz w:val="24"/>
        </w:rPr>
        <w:t>、成立标准修订工作组</w:t>
      </w:r>
    </w:p>
    <w:p>
      <w:pPr>
        <w:spacing w:line="400" w:lineRule="exact"/>
        <w:ind w:firstLine="480" w:firstLineChars="200"/>
        <w:rPr>
          <w:rFonts w:eastAsia="仿宋_GB2312"/>
          <w:bCs/>
          <w:sz w:val="24"/>
        </w:rPr>
      </w:pPr>
      <w:r>
        <w:rPr>
          <w:rFonts w:eastAsia="仿宋_GB2312"/>
          <w:bCs/>
          <w:sz w:val="24"/>
        </w:rPr>
        <w:t>2022</w:t>
      </w:r>
      <w:r>
        <w:rPr>
          <w:rFonts w:hint="eastAsia" w:eastAsia="仿宋_GB2312"/>
          <w:bCs/>
          <w:sz w:val="24"/>
        </w:rPr>
        <w:t>年</w:t>
      </w:r>
      <w:r>
        <w:rPr>
          <w:rFonts w:eastAsia="仿宋_GB2312"/>
          <w:bCs/>
          <w:sz w:val="24"/>
        </w:rPr>
        <w:t>10-12</w:t>
      </w:r>
      <w:r>
        <w:rPr>
          <w:rFonts w:hint="eastAsia" w:eastAsia="仿宋_GB2312"/>
          <w:bCs/>
          <w:sz w:val="24"/>
        </w:rPr>
        <w:t>月，收到</w:t>
      </w:r>
      <w:r>
        <w:rPr>
          <w:rFonts w:hint="eastAsia" w:ascii="仿宋_GB2312" w:hAnsi="宋体" w:eastAsia="仿宋_GB2312"/>
          <w:sz w:val="24"/>
        </w:rPr>
        <w:t>山西省市场监督管理局关于</w:t>
      </w:r>
      <w:r>
        <w:rPr>
          <w:rFonts w:ascii="仿宋_GB2312" w:hAnsi="宋体" w:eastAsia="仿宋_GB2312"/>
          <w:sz w:val="24"/>
        </w:rPr>
        <w:t>2022</w:t>
      </w:r>
      <w:r>
        <w:rPr>
          <w:rFonts w:hint="eastAsia" w:ascii="仿宋_GB2312" w:hAnsi="宋体" w:eastAsia="仿宋_GB2312"/>
          <w:sz w:val="24"/>
        </w:rPr>
        <w:t>年度省级地方标准复审结论公告</w:t>
      </w:r>
      <w:r>
        <w:rPr>
          <w:rFonts w:hint="eastAsia" w:eastAsia="仿宋_GB2312"/>
          <w:bCs/>
          <w:sz w:val="24"/>
        </w:rPr>
        <w:t>的通知后，山西农业大学园艺学院果树优质高效生产科研团队成立了标准修订工作组。组织修订工作人员，制定了工作计划，在疫情期间采取线上</w:t>
      </w:r>
      <w:r>
        <w:rPr>
          <w:rFonts w:eastAsia="仿宋_GB2312"/>
          <w:bCs/>
          <w:sz w:val="24"/>
        </w:rPr>
        <w:t>+</w:t>
      </w:r>
      <w:r>
        <w:rPr>
          <w:rFonts w:hint="eastAsia" w:eastAsia="仿宋_GB2312"/>
          <w:bCs/>
          <w:sz w:val="24"/>
        </w:rPr>
        <w:t>线下的方式进行了及时沟通，保证了工作的顺利进行。</w:t>
      </w:r>
    </w:p>
    <w:p>
      <w:pPr>
        <w:spacing w:line="400" w:lineRule="exact"/>
        <w:ind w:firstLine="480" w:firstLineChars="200"/>
        <w:rPr>
          <w:rFonts w:eastAsia="仿宋_GB2312"/>
          <w:bCs/>
          <w:sz w:val="24"/>
        </w:rPr>
      </w:pPr>
      <w:r>
        <w:rPr>
          <w:rFonts w:eastAsia="仿宋_GB2312"/>
          <w:bCs/>
          <w:sz w:val="24"/>
        </w:rPr>
        <w:t>2</w:t>
      </w:r>
      <w:r>
        <w:rPr>
          <w:rFonts w:hint="eastAsia" w:eastAsia="仿宋_GB2312"/>
          <w:bCs/>
          <w:sz w:val="24"/>
        </w:rPr>
        <w:t>、调研考察</w:t>
      </w:r>
    </w:p>
    <w:p>
      <w:pPr>
        <w:spacing w:line="400" w:lineRule="exact"/>
        <w:ind w:firstLine="480" w:firstLineChars="200"/>
        <w:rPr>
          <w:rFonts w:eastAsia="仿宋_GB2312"/>
          <w:bCs/>
          <w:sz w:val="24"/>
        </w:rPr>
      </w:pPr>
      <w:r>
        <w:rPr>
          <w:rFonts w:eastAsia="仿宋_GB2312"/>
          <w:bCs/>
          <w:sz w:val="24"/>
        </w:rPr>
        <w:t>2023</w:t>
      </w:r>
      <w:r>
        <w:rPr>
          <w:rFonts w:hint="eastAsia" w:eastAsia="仿宋_GB2312"/>
          <w:bCs/>
          <w:sz w:val="24"/>
        </w:rPr>
        <w:t>年2</w:t>
      </w:r>
      <w:r>
        <w:rPr>
          <w:rFonts w:eastAsia="仿宋_GB2312"/>
          <w:bCs/>
          <w:sz w:val="24"/>
        </w:rPr>
        <w:t>-</w:t>
      </w:r>
      <w:r>
        <w:rPr>
          <w:rFonts w:hint="eastAsia" w:eastAsia="仿宋_GB2312"/>
          <w:bCs/>
          <w:sz w:val="24"/>
        </w:rPr>
        <w:t>5月，科研团队在苹果冬季修剪和花果管理关键时期，对我省运城、临汾、晋中、太原等苹果基地合作社与骨干企业、科技人员和重点农户进行了生产情况进行调研，了解各地苹果高光效果园的基地存在问题、技术需求及管理经验，获得了果园建设的第一手资料。</w:t>
      </w:r>
    </w:p>
    <w:p>
      <w:pPr>
        <w:spacing w:line="400" w:lineRule="exact"/>
        <w:ind w:firstLine="480" w:firstLineChars="200"/>
        <w:rPr>
          <w:rFonts w:eastAsia="仿宋_GB2312"/>
          <w:bCs/>
          <w:sz w:val="24"/>
        </w:rPr>
      </w:pPr>
      <w:r>
        <w:rPr>
          <w:rFonts w:eastAsia="仿宋_GB2312"/>
          <w:bCs/>
          <w:sz w:val="24"/>
        </w:rPr>
        <w:t>3</w:t>
      </w:r>
      <w:r>
        <w:rPr>
          <w:rFonts w:hint="eastAsia" w:eastAsia="仿宋_GB2312"/>
          <w:bCs/>
          <w:sz w:val="24"/>
        </w:rPr>
        <w:t>、收集资料</w:t>
      </w:r>
    </w:p>
    <w:p>
      <w:pPr>
        <w:spacing w:line="400" w:lineRule="exact"/>
        <w:ind w:firstLine="480" w:firstLineChars="200"/>
        <w:rPr>
          <w:rFonts w:hint="eastAsia" w:eastAsia="仿宋_GB2312"/>
          <w:bCs/>
          <w:sz w:val="24"/>
        </w:rPr>
      </w:pPr>
      <w:r>
        <w:rPr>
          <w:rFonts w:hint="eastAsia" w:eastAsia="仿宋_GB2312"/>
          <w:bCs/>
          <w:sz w:val="24"/>
        </w:rPr>
        <w:t>2023</w:t>
      </w:r>
      <w:r>
        <w:rPr>
          <w:rFonts w:hint="eastAsia" w:eastAsia="仿宋_GB2312"/>
          <w:bCs/>
          <w:sz w:val="24"/>
        </w:rPr>
        <w:t>年6月，标准工作组查阅了苹果高光效果园建设相关的国家标准、行业标准以及省级地方标准。收集了苹果高效果园建设相关研究成果、技术书籍和研究论文，结合山西苹果优质高效生产的技术特点，并参考团队近年来的研究结果，进行了资料分析和技术总结，</w:t>
      </w:r>
      <w:r>
        <w:rPr>
          <w:rFonts w:hint="eastAsia" w:eastAsia="仿宋_GB2312"/>
          <w:bCs/>
          <w:sz w:val="24"/>
        </w:rPr>
        <w:t>为本标准修订提供实际参考。</w:t>
      </w:r>
    </w:p>
    <w:p>
      <w:pPr>
        <w:spacing w:line="400" w:lineRule="exact"/>
        <w:ind w:firstLine="480" w:firstLineChars="200"/>
        <w:rPr>
          <w:rFonts w:eastAsia="仿宋_GB2312"/>
          <w:bCs/>
          <w:sz w:val="24"/>
        </w:rPr>
      </w:pPr>
      <w:r>
        <w:rPr>
          <w:rFonts w:eastAsia="仿宋_GB2312"/>
          <w:bCs/>
          <w:sz w:val="24"/>
        </w:rPr>
        <w:t>4</w:t>
      </w:r>
      <w:r>
        <w:rPr>
          <w:rFonts w:hint="eastAsia" w:eastAsia="仿宋_GB2312"/>
          <w:bCs/>
          <w:sz w:val="24"/>
        </w:rPr>
        <w:t>、修订文本</w:t>
      </w:r>
    </w:p>
    <w:p>
      <w:pPr>
        <w:spacing w:line="400" w:lineRule="exact"/>
        <w:ind w:firstLine="480" w:firstLineChars="200"/>
        <w:rPr>
          <w:rFonts w:eastAsia="仿宋_GB2312"/>
          <w:bCs/>
          <w:sz w:val="24"/>
        </w:rPr>
      </w:pPr>
      <w:r>
        <w:rPr>
          <w:rFonts w:hint="eastAsia" w:eastAsia="仿宋_GB2312"/>
          <w:bCs/>
          <w:sz w:val="24"/>
        </w:rPr>
        <w:t>工作组于</w:t>
      </w:r>
      <w:r>
        <w:rPr>
          <w:rFonts w:eastAsia="仿宋_GB2312"/>
          <w:bCs/>
          <w:sz w:val="24"/>
        </w:rPr>
        <w:t>2023</w:t>
      </w:r>
      <w:r>
        <w:rPr>
          <w:rFonts w:hint="eastAsia" w:eastAsia="仿宋_GB2312"/>
          <w:bCs/>
          <w:sz w:val="24"/>
        </w:rPr>
        <w:t>年7月修订了《高光效苹果园建设技术规程》文本框架，随后通过发放电子版文本材料、专家咨询座谈、果园现场技术交流验证等途径，征集了各领域专业人士的修改意见和建议，完成了本标准文本的修订稿。</w:t>
      </w:r>
      <w:r>
        <w:rPr>
          <w:rFonts w:hint="eastAsia" w:ascii="仿宋_GB2312" w:hAnsi="宋体" w:eastAsia="仿宋_GB2312"/>
          <w:sz w:val="24"/>
        </w:rPr>
        <w:t>发送“征求意见稿”的单位数5个</w:t>
      </w:r>
      <w:r>
        <w:rPr>
          <w:rFonts w:hint="eastAsia" w:ascii="仿宋_GB2312" w:hAnsi="宋体" w:eastAsia="仿宋_GB2312"/>
          <w:sz w:val="24"/>
          <w:lang w:eastAsia="zh-CN"/>
        </w:rPr>
        <w:t>，</w:t>
      </w:r>
      <w:r>
        <w:rPr>
          <w:rFonts w:hint="eastAsia" w:ascii="仿宋_GB2312" w:hAnsi="宋体" w:eastAsia="仿宋_GB2312"/>
          <w:sz w:val="24"/>
        </w:rPr>
        <w:t>收到“征求意见稿”后，回函并提出意见的单位5个；收到征求意见</w:t>
      </w:r>
      <w:r>
        <w:rPr>
          <w:rFonts w:hint="eastAsia" w:ascii="仿宋_GB2312" w:hAnsi="宋体" w:eastAsia="仿宋_GB2312"/>
          <w:sz w:val="24"/>
          <w:lang w:val="en-US" w:eastAsia="zh-CN"/>
        </w:rPr>
        <w:t>7</w:t>
      </w:r>
      <w:r>
        <w:rPr>
          <w:rFonts w:hint="eastAsia" w:ascii="仿宋_GB2312" w:hAnsi="宋体" w:eastAsia="仿宋_GB2312"/>
          <w:sz w:val="24"/>
        </w:rPr>
        <w:t>条，采纳7条。</w:t>
      </w:r>
    </w:p>
    <w:p>
      <w:pPr>
        <w:spacing w:line="400" w:lineRule="exact"/>
        <w:ind w:firstLine="480" w:firstLineChars="200"/>
        <w:rPr>
          <w:rFonts w:hint="default" w:eastAsia="仿宋_GB2312"/>
          <w:bCs/>
          <w:color w:val="auto"/>
          <w:sz w:val="24"/>
          <w:lang w:val="en-US" w:eastAsia="zh-CN"/>
        </w:rPr>
      </w:pPr>
      <w:r>
        <w:rPr>
          <w:rFonts w:eastAsia="仿宋_GB2312"/>
          <w:bCs/>
          <w:color w:val="auto"/>
          <w:sz w:val="24"/>
        </w:rPr>
        <w:t>5</w:t>
      </w:r>
      <w:r>
        <w:rPr>
          <w:rFonts w:hint="eastAsia" w:eastAsia="仿宋_GB2312"/>
          <w:bCs/>
          <w:color w:val="auto"/>
          <w:sz w:val="24"/>
        </w:rPr>
        <w:t>、</w:t>
      </w:r>
      <w:r>
        <w:rPr>
          <w:rFonts w:hint="eastAsia" w:eastAsia="仿宋_GB2312"/>
          <w:bCs/>
          <w:color w:val="auto"/>
          <w:sz w:val="24"/>
          <w:lang w:val="en-US" w:eastAsia="zh-CN"/>
        </w:rPr>
        <w:t>标准审查</w:t>
      </w:r>
    </w:p>
    <w:p>
      <w:pPr>
        <w:spacing w:line="400" w:lineRule="exact"/>
        <w:ind w:firstLine="480" w:firstLineChars="200"/>
        <w:rPr>
          <w:rFonts w:eastAsia="仿宋_GB2312"/>
          <w:bCs/>
          <w:color w:val="auto"/>
          <w:sz w:val="24"/>
        </w:rPr>
      </w:pPr>
      <w:r>
        <w:rPr>
          <w:rFonts w:hint="eastAsia" w:eastAsia="仿宋_GB2312"/>
          <w:bCs/>
          <w:color w:val="auto"/>
          <w:sz w:val="24"/>
        </w:rPr>
        <w:t>2024年3月16日，在山西农业大学龙城校区果树研究所二层会议室，与会专家听取了起草单位对《高光效苹果园技术技术规程》的修订情况汇报，并对标准送审稿和编制说明进行了</w:t>
      </w:r>
      <w:r>
        <w:rPr>
          <w:rFonts w:hint="eastAsia" w:eastAsia="仿宋_GB2312"/>
          <w:bCs/>
          <w:color w:val="auto"/>
          <w:sz w:val="24"/>
          <w:lang w:val="en-US" w:eastAsia="zh-CN"/>
        </w:rPr>
        <w:t>标准审查</w:t>
      </w:r>
      <w:r>
        <w:rPr>
          <w:rFonts w:hint="eastAsia" w:eastAsia="仿宋_GB2312"/>
          <w:bCs/>
          <w:color w:val="auto"/>
          <w:sz w:val="24"/>
        </w:rPr>
        <w:t>。</w:t>
      </w:r>
    </w:p>
    <w:p>
      <w:pPr>
        <w:spacing w:line="400" w:lineRule="exact"/>
        <w:ind w:firstLine="480" w:firstLineChars="200"/>
        <w:rPr>
          <w:rFonts w:hint="eastAsia" w:eastAsia="仿宋_GB2312"/>
          <w:bCs/>
          <w:color w:val="auto"/>
          <w:sz w:val="24"/>
        </w:rPr>
      </w:pPr>
      <w:r>
        <w:rPr>
          <w:rFonts w:hint="eastAsia" w:eastAsia="仿宋_GB2312"/>
          <w:bCs/>
          <w:color w:val="auto"/>
          <w:sz w:val="24"/>
        </w:rPr>
        <w:t>专家组同意通过技术评审，起草单位按照专家组意见修改完善，形成报批稿。</w:t>
      </w:r>
    </w:p>
    <w:p>
      <w:pPr>
        <w:spacing w:line="400" w:lineRule="exact"/>
        <w:ind w:firstLine="480" w:firstLineChars="200"/>
        <w:rPr>
          <w:rFonts w:hint="eastAsia" w:eastAsia="仿宋_GB2312"/>
          <w:bCs/>
          <w:color w:val="auto"/>
          <w:sz w:val="24"/>
          <w:lang w:val="en-US" w:eastAsia="zh-CN"/>
        </w:rPr>
      </w:pPr>
      <w:r>
        <w:rPr>
          <w:rFonts w:hint="eastAsia" w:eastAsia="仿宋_GB2312"/>
          <w:bCs/>
          <w:color w:val="auto"/>
          <w:sz w:val="24"/>
          <w:lang w:val="en-US" w:eastAsia="zh-CN"/>
        </w:rPr>
        <w:t>6、征求意见</w:t>
      </w:r>
    </w:p>
    <w:p>
      <w:pPr>
        <w:spacing w:line="400" w:lineRule="exact"/>
        <w:ind w:firstLine="480" w:firstLineChars="200"/>
        <w:rPr>
          <w:rFonts w:hint="default" w:eastAsia="仿宋_GB2312"/>
          <w:bCs/>
          <w:color w:val="auto"/>
          <w:sz w:val="24"/>
          <w:lang w:val="en-US" w:eastAsia="zh-CN"/>
        </w:rPr>
      </w:pPr>
      <w:r>
        <w:rPr>
          <w:rFonts w:hint="eastAsia" w:eastAsia="仿宋_GB2312"/>
          <w:bCs/>
          <w:color w:val="auto"/>
          <w:sz w:val="24"/>
          <w:lang w:val="en-US" w:eastAsia="zh-CN"/>
        </w:rPr>
        <w:t xml:space="preserve"> </w:t>
      </w:r>
      <w:r>
        <w:rPr>
          <w:rFonts w:hint="eastAsia" w:eastAsia="仿宋_GB2312"/>
          <w:bCs/>
          <w:color w:val="auto"/>
          <w:sz w:val="24"/>
        </w:rPr>
        <w:t>2024年</w:t>
      </w:r>
      <w:r>
        <w:rPr>
          <w:rFonts w:hint="eastAsia" w:eastAsia="仿宋_GB2312"/>
          <w:bCs/>
          <w:color w:val="auto"/>
          <w:sz w:val="24"/>
          <w:lang w:val="en-US" w:eastAsia="zh-CN"/>
        </w:rPr>
        <w:t>xx</w:t>
      </w:r>
      <w:r>
        <w:rPr>
          <w:rFonts w:hint="eastAsia" w:eastAsia="仿宋_GB2312"/>
          <w:bCs/>
          <w:color w:val="auto"/>
          <w:sz w:val="24"/>
        </w:rPr>
        <w:t>月</w:t>
      </w:r>
      <w:r>
        <w:rPr>
          <w:rFonts w:hint="eastAsia" w:eastAsia="仿宋_GB2312"/>
          <w:bCs/>
          <w:color w:val="auto"/>
          <w:sz w:val="24"/>
          <w:lang w:val="en-US" w:eastAsia="zh-CN"/>
        </w:rPr>
        <w:t>xx</w:t>
      </w:r>
      <w:r>
        <w:rPr>
          <w:rFonts w:hint="eastAsia" w:eastAsia="仿宋_GB2312"/>
          <w:bCs/>
          <w:color w:val="auto"/>
          <w:sz w:val="24"/>
        </w:rPr>
        <w:t>日</w:t>
      </w:r>
      <w:r>
        <w:rPr>
          <w:rFonts w:hint="eastAsia" w:eastAsia="仿宋_GB2312"/>
          <w:bCs/>
          <w:color w:val="auto"/>
          <w:sz w:val="24"/>
          <w:lang w:val="en-US" w:eastAsia="zh-CN"/>
        </w:rPr>
        <w:t>，报省市场监督管理局挂网向社会公开征求意见30天。</w:t>
      </w:r>
    </w:p>
    <w:p>
      <w:pPr>
        <w:spacing w:line="400" w:lineRule="exact"/>
        <w:ind w:firstLine="480" w:firstLineChars="200"/>
        <w:rPr>
          <w:rFonts w:hint="default" w:eastAsia="仿宋_GB2312"/>
          <w:bCs/>
          <w:color w:val="auto"/>
          <w:sz w:val="24"/>
          <w:lang w:val="en-US" w:eastAsia="zh-CN"/>
        </w:rPr>
      </w:pPr>
      <w:r>
        <w:rPr>
          <w:rFonts w:hint="eastAsia" w:eastAsia="仿宋_GB2312"/>
          <w:bCs/>
          <w:color w:val="auto"/>
          <w:sz w:val="24"/>
          <w:lang w:val="en-US" w:eastAsia="zh-CN"/>
        </w:rPr>
        <w:t>7、完善文本</w:t>
      </w:r>
    </w:p>
    <w:p>
      <w:pPr>
        <w:spacing w:line="400" w:lineRule="exact"/>
        <w:ind w:firstLine="480" w:firstLineChars="200"/>
        <w:rPr>
          <w:rFonts w:hint="eastAsia" w:eastAsia="仿宋_GB2312"/>
          <w:bCs/>
          <w:color w:val="auto"/>
          <w:sz w:val="24"/>
          <w:lang w:val="en-US" w:eastAsia="zh-CN"/>
        </w:rPr>
      </w:pPr>
      <w:r>
        <w:rPr>
          <w:rFonts w:hint="eastAsia" w:eastAsia="仿宋_GB2312"/>
          <w:bCs/>
          <w:color w:val="auto"/>
          <w:sz w:val="24"/>
          <w:lang w:val="en-US" w:eastAsia="zh-CN"/>
        </w:rPr>
        <w:t>进一步修改完善后形成标准送审稿，标委会表决通过，形成报批稿、提交报批材料。</w:t>
      </w:r>
    </w:p>
    <w:p>
      <w:pPr>
        <w:spacing w:line="400" w:lineRule="exact"/>
        <w:ind w:firstLine="480" w:firstLineChars="200"/>
        <w:rPr>
          <w:rFonts w:hint="eastAsia" w:eastAsia="仿宋_GB2312"/>
          <w:bCs/>
          <w:color w:val="auto"/>
          <w:sz w:val="24"/>
        </w:rPr>
      </w:pPr>
    </w:p>
    <w:p>
      <w:pPr>
        <w:spacing w:line="360" w:lineRule="auto"/>
        <w:ind w:firstLine="480" w:firstLineChars="200"/>
        <w:outlineLvl w:val="0"/>
        <w:rPr>
          <w:rFonts w:ascii="黑体" w:eastAsia="黑体"/>
          <w:sz w:val="24"/>
        </w:rPr>
      </w:pPr>
      <w:r>
        <w:rPr>
          <w:rFonts w:hint="eastAsia" w:ascii="黑体" w:eastAsia="黑体"/>
          <w:sz w:val="24"/>
        </w:rPr>
        <w:t>四、修订标准的原则和依据，与现行法律、法规、标准的关系</w:t>
      </w:r>
    </w:p>
    <w:p>
      <w:pPr>
        <w:spacing w:line="400" w:lineRule="exact"/>
        <w:ind w:firstLine="480" w:firstLineChars="200"/>
        <w:rPr>
          <w:rFonts w:hint="eastAsia" w:eastAsia="仿宋_GB2312"/>
          <w:bCs/>
          <w:sz w:val="24"/>
        </w:rPr>
      </w:pPr>
      <w:r>
        <w:rPr>
          <w:rFonts w:hint="eastAsia" w:eastAsia="仿宋_GB2312"/>
          <w:bCs/>
          <w:sz w:val="24"/>
        </w:rPr>
        <w:t>本标准严格按照《中华人民共和国标准法》、《中华人民共和国农业法》、《中华人民共和国农业技术推广法》等有关法律和质量技术监督局《农业标准化管理办法》、山西省地方标准《技术审查工作规范》等规章执行。本标准根据</w:t>
      </w:r>
      <w:r>
        <w:rPr>
          <w:rFonts w:eastAsia="仿宋_GB2312"/>
          <w:bCs/>
          <w:sz w:val="24"/>
        </w:rPr>
        <w:t>GB/T 1.1—2020</w:t>
      </w:r>
      <w:r>
        <w:rPr>
          <w:rFonts w:hint="eastAsia" w:eastAsia="仿宋_GB2312"/>
          <w:bCs/>
          <w:sz w:val="24"/>
        </w:rPr>
        <w:t>《标准化工作导则</w:t>
      </w:r>
      <w:r>
        <w:rPr>
          <w:rFonts w:eastAsia="仿宋_GB2312"/>
          <w:bCs/>
          <w:sz w:val="24"/>
        </w:rPr>
        <w:t xml:space="preserve">  </w:t>
      </w:r>
      <w:r>
        <w:rPr>
          <w:rFonts w:hint="eastAsia" w:eastAsia="仿宋_GB2312"/>
          <w:bCs/>
          <w:sz w:val="24"/>
        </w:rPr>
        <w:t>第</w:t>
      </w:r>
      <w:r>
        <w:rPr>
          <w:rFonts w:eastAsia="仿宋_GB2312"/>
          <w:bCs/>
          <w:sz w:val="24"/>
        </w:rPr>
        <w:t>1</w:t>
      </w:r>
      <w:r>
        <w:rPr>
          <w:rFonts w:hint="eastAsia" w:eastAsia="仿宋_GB2312"/>
          <w:bCs/>
          <w:sz w:val="24"/>
        </w:rPr>
        <w:t>部分：标准化文件的结构和起草规则》的规定起草，内容和要求参照了相关法律规则，引用了现行的国家标准和行业标准，与现行法律、法规及强制标准没有冲突。</w:t>
      </w:r>
    </w:p>
    <w:p>
      <w:pPr>
        <w:spacing w:line="400" w:lineRule="exact"/>
        <w:ind w:firstLine="480" w:firstLineChars="200"/>
        <w:rPr>
          <w:rFonts w:hint="eastAsia" w:eastAsia="仿宋_GB2312"/>
          <w:bCs/>
          <w:sz w:val="24"/>
        </w:rPr>
      </w:pPr>
    </w:p>
    <w:p>
      <w:pPr>
        <w:spacing w:line="360" w:lineRule="auto"/>
        <w:ind w:firstLine="480" w:firstLineChars="200"/>
        <w:outlineLvl w:val="0"/>
        <w:rPr>
          <w:rFonts w:ascii="黑体" w:eastAsia="黑体"/>
          <w:sz w:val="24"/>
        </w:rPr>
      </w:pPr>
      <w:r>
        <w:rPr>
          <w:rFonts w:hint="eastAsia" w:ascii="黑体" w:eastAsia="黑体"/>
          <w:sz w:val="24"/>
        </w:rPr>
        <w:t>五、主要条款的说明，主要技术指标、参数、试验验证的分析、综合论述</w:t>
      </w:r>
    </w:p>
    <w:p>
      <w:pPr>
        <w:spacing w:line="400" w:lineRule="exact"/>
        <w:ind w:firstLine="480" w:firstLineChars="200"/>
        <w:rPr>
          <w:rFonts w:hint="eastAsia" w:eastAsia="仿宋_GB2312"/>
          <w:bCs/>
          <w:sz w:val="24"/>
        </w:rPr>
      </w:pPr>
      <w:r>
        <w:rPr>
          <w:rFonts w:hint="eastAsia" w:eastAsia="仿宋_GB2312"/>
          <w:bCs/>
          <w:sz w:val="24"/>
        </w:rPr>
        <w:t>标准起草组以“合法性、安全性、适应性、协调性和先进性”为修订原则，以文本结构更加合理、表述更加准确、技术指标更加科学为修订目标，从三个方面对文本进行了修订，其中：</w:t>
      </w:r>
    </w:p>
    <w:p>
      <w:pPr>
        <w:spacing w:line="400" w:lineRule="exact"/>
        <w:ind w:firstLine="480" w:firstLineChars="200"/>
        <w:rPr>
          <w:rFonts w:hint="eastAsia" w:eastAsia="仿宋_GB2312"/>
          <w:bCs/>
          <w:sz w:val="24"/>
        </w:rPr>
      </w:pPr>
      <w:r>
        <w:rPr>
          <w:rFonts w:hint="eastAsia" w:eastAsia="仿宋_GB2312"/>
          <w:bCs/>
          <w:sz w:val="24"/>
        </w:rPr>
        <w:t>1、涉及结构性调整的主要有2项：</w:t>
      </w:r>
    </w:p>
    <w:p>
      <w:pPr>
        <w:spacing w:line="400" w:lineRule="exact"/>
        <w:ind w:firstLine="480" w:firstLineChars="200"/>
        <w:rPr>
          <w:rFonts w:hint="eastAsia" w:eastAsia="仿宋_GB2312"/>
          <w:bCs/>
          <w:sz w:val="24"/>
          <w:lang w:val="en-US" w:eastAsia="zh-CN"/>
        </w:rPr>
      </w:pPr>
      <w:r>
        <w:rPr>
          <w:rFonts w:hint="eastAsia" w:eastAsia="仿宋_GB2312"/>
          <w:bCs/>
          <w:sz w:val="24"/>
        </w:rPr>
        <w:t>（1）</w:t>
      </w:r>
      <w:r>
        <w:rPr>
          <w:rFonts w:hint="eastAsia" w:eastAsia="仿宋_GB2312"/>
          <w:bCs/>
          <w:sz w:val="24"/>
          <w:lang w:val="en-US" w:eastAsia="zh-CN"/>
        </w:rPr>
        <w:t>删除了</w:t>
      </w:r>
      <w:r>
        <w:rPr>
          <w:rFonts w:hint="eastAsia" w:eastAsia="仿宋_GB2312"/>
          <w:bCs/>
          <w:sz w:val="24"/>
        </w:rPr>
        <w:t>“</w:t>
      </w:r>
      <w:r>
        <w:rPr>
          <w:rFonts w:hint="eastAsia" w:eastAsia="仿宋_GB2312"/>
          <w:bCs/>
          <w:sz w:val="24"/>
          <w:lang w:val="en-US" w:eastAsia="zh-CN"/>
        </w:rPr>
        <w:t>术语和定义</w:t>
      </w:r>
      <w:r>
        <w:rPr>
          <w:rFonts w:hint="eastAsia" w:eastAsia="仿宋_GB2312"/>
          <w:bCs/>
          <w:sz w:val="24"/>
        </w:rPr>
        <w:t>”</w:t>
      </w:r>
      <w:r>
        <w:rPr>
          <w:rFonts w:hint="eastAsia" w:eastAsia="仿宋_GB2312"/>
          <w:bCs/>
          <w:sz w:val="24"/>
          <w:lang w:val="en-US" w:eastAsia="zh-CN"/>
        </w:rPr>
        <w:t>中的“苹果高光效树形”</w:t>
      </w:r>
      <w:r>
        <w:rPr>
          <w:rFonts w:hint="eastAsia" w:eastAsia="仿宋_GB2312"/>
          <w:bCs/>
          <w:sz w:val="24"/>
        </w:rPr>
        <w:t>，修订原因：</w:t>
      </w:r>
      <w:r>
        <w:rPr>
          <w:rFonts w:hint="eastAsia" w:eastAsia="仿宋_GB2312"/>
          <w:bCs/>
          <w:sz w:val="24"/>
          <w:lang w:val="en-US" w:eastAsia="zh-CN"/>
        </w:rPr>
        <w:t>删除非必要解释的词语</w:t>
      </w:r>
      <w:r>
        <w:rPr>
          <w:rFonts w:hint="eastAsia" w:eastAsia="仿宋_GB2312"/>
          <w:bCs/>
          <w:sz w:val="24"/>
        </w:rPr>
        <w:t>，</w:t>
      </w:r>
      <w:r>
        <w:rPr>
          <w:rFonts w:hint="eastAsia" w:eastAsia="仿宋_GB2312"/>
          <w:bCs/>
          <w:sz w:val="24"/>
          <w:lang w:val="en-US" w:eastAsia="zh-CN"/>
        </w:rPr>
        <w:t>不影响对标准技术内容的理解，文本更精炼。</w:t>
      </w:r>
    </w:p>
    <w:p>
      <w:pPr>
        <w:spacing w:line="400" w:lineRule="exact"/>
        <w:ind w:firstLine="480" w:firstLineChars="200"/>
        <w:rPr>
          <w:rFonts w:hint="eastAsia" w:eastAsia="仿宋_GB2312"/>
          <w:bCs/>
          <w:sz w:val="24"/>
        </w:rPr>
      </w:pPr>
      <w:r>
        <w:rPr>
          <w:rFonts w:hint="eastAsia" w:eastAsia="仿宋_GB2312"/>
          <w:bCs/>
          <w:sz w:val="24"/>
        </w:rPr>
        <w:t>（</w:t>
      </w:r>
      <w:r>
        <w:rPr>
          <w:rFonts w:hint="eastAsia" w:eastAsia="仿宋_GB2312"/>
          <w:bCs/>
          <w:sz w:val="24"/>
          <w:lang w:val="en-US" w:eastAsia="zh-CN"/>
        </w:rPr>
        <w:t>2</w:t>
      </w:r>
      <w:r>
        <w:rPr>
          <w:rFonts w:hint="eastAsia" w:eastAsia="仿宋_GB2312"/>
          <w:bCs/>
          <w:sz w:val="24"/>
        </w:rPr>
        <w:t>）删除了“</w:t>
      </w:r>
      <w:r>
        <w:rPr>
          <w:rFonts w:hint="eastAsia" w:eastAsia="仿宋_GB2312"/>
          <w:bCs/>
          <w:sz w:val="24"/>
          <w:lang w:val="en-US" w:eastAsia="zh-CN"/>
        </w:rPr>
        <w:t>附录</w:t>
      </w:r>
      <w:r>
        <w:rPr>
          <w:rFonts w:hint="eastAsia" w:eastAsia="仿宋_GB2312"/>
          <w:bCs/>
          <w:sz w:val="24"/>
          <w:szCs w:val="24"/>
          <w:lang w:val="en-US" w:eastAsia="zh-CN"/>
        </w:rPr>
        <w:t>B</w:t>
      </w:r>
      <w:r>
        <w:rPr>
          <w:rFonts w:hint="eastAsia" w:eastAsia="仿宋_GB2312"/>
          <w:bCs/>
          <w:sz w:val="24"/>
          <w:szCs w:val="24"/>
        </w:rPr>
        <w:t>”</w:t>
      </w:r>
      <w:r>
        <w:rPr>
          <w:rFonts w:hint="eastAsia" w:eastAsia="仿宋_GB2312"/>
          <w:bCs/>
          <w:sz w:val="24"/>
          <w:szCs w:val="24"/>
          <w:lang w:val="en-US" w:eastAsia="zh-CN"/>
        </w:rPr>
        <w:t>中</w:t>
      </w:r>
      <w:r>
        <w:rPr>
          <w:rFonts w:hint="eastAsia" w:eastAsia="仿宋_GB2312"/>
          <w:bCs/>
          <w:sz w:val="24"/>
          <w:szCs w:val="24"/>
        </w:rPr>
        <w:t>表B.</w:t>
      </w:r>
      <w:r>
        <w:rPr>
          <w:rFonts w:hint="eastAsia" w:eastAsia="仿宋_GB2312"/>
          <w:bCs/>
          <w:sz w:val="24"/>
          <w:lang w:val="en-US" w:eastAsia="zh-CN"/>
        </w:rPr>
        <w:t>3</w:t>
      </w:r>
      <w:r>
        <w:rPr>
          <w:rFonts w:hint="eastAsia" w:eastAsia="仿宋_GB2312"/>
          <w:bCs/>
          <w:sz w:val="24"/>
        </w:rPr>
        <w:t>的内容；修订原因：本标准主要针对</w:t>
      </w:r>
      <w:r>
        <w:rPr>
          <w:rFonts w:hint="eastAsia" w:eastAsia="仿宋_GB2312"/>
          <w:bCs/>
          <w:sz w:val="24"/>
          <w:lang w:val="en-US" w:eastAsia="zh-CN"/>
        </w:rPr>
        <w:t>果园建设</w:t>
      </w:r>
      <w:r>
        <w:rPr>
          <w:rFonts w:hint="eastAsia" w:eastAsia="仿宋_GB2312"/>
          <w:bCs/>
          <w:sz w:val="24"/>
        </w:rPr>
        <w:t>内容进行阐述，删除相关</w:t>
      </w:r>
      <w:r>
        <w:rPr>
          <w:rFonts w:hint="eastAsia" w:eastAsia="仿宋_GB2312"/>
          <w:bCs/>
          <w:sz w:val="24"/>
          <w:lang w:val="en-US" w:eastAsia="zh-CN"/>
        </w:rPr>
        <w:t>性不大的</w:t>
      </w:r>
      <w:r>
        <w:rPr>
          <w:rFonts w:hint="eastAsia" w:eastAsia="仿宋_GB2312"/>
          <w:bCs/>
          <w:sz w:val="24"/>
        </w:rPr>
        <w:t>生产农事记录，简化</w:t>
      </w:r>
      <w:r>
        <w:rPr>
          <w:rFonts w:hint="eastAsia" w:eastAsia="仿宋_GB2312"/>
          <w:bCs/>
          <w:sz w:val="24"/>
          <w:lang w:val="en-US" w:eastAsia="zh-CN"/>
        </w:rPr>
        <w:t>内容</w:t>
      </w:r>
      <w:r>
        <w:rPr>
          <w:rFonts w:hint="eastAsia" w:eastAsia="仿宋_GB2312"/>
          <w:bCs/>
          <w:sz w:val="24"/>
        </w:rPr>
        <w:t>，提高实际可操作性。</w:t>
      </w:r>
    </w:p>
    <w:p>
      <w:pPr>
        <w:spacing w:line="400" w:lineRule="exact"/>
        <w:ind w:firstLine="480" w:firstLineChars="200"/>
        <w:rPr>
          <w:rFonts w:hint="eastAsia" w:eastAsia="仿宋_GB2312"/>
          <w:bCs/>
          <w:sz w:val="24"/>
        </w:rPr>
      </w:pPr>
      <w:r>
        <w:rPr>
          <w:rFonts w:hint="eastAsia" w:eastAsia="仿宋_GB2312"/>
          <w:bCs/>
          <w:sz w:val="24"/>
        </w:rPr>
        <w:t>2、涉及表述与编辑性修改的主要有5项：</w:t>
      </w:r>
    </w:p>
    <w:p>
      <w:pPr>
        <w:spacing w:line="400" w:lineRule="exact"/>
        <w:ind w:firstLine="480" w:firstLineChars="200"/>
        <w:rPr>
          <w:rFonts w:hint="eastAsia" w:eastAsia="仿宋_GB2312"/>
          <w:bCs/>
          <w:sz w:val="24"/>
        </w:rPr>
      </w:pPr>
      <w:r>
        <w:rPr>
          <w:rFonts w:hint="eastAsia" w:eastAsia="仿宋_GB2312"/>
          <w:bCs/>
          <w:sz w:val="24"/>
        </w:rPr>
        <w:t>（1）更改了“</w:t>
      </w:r>
      <w:r>
        <w:rPr>
          <w:rFonts w:hint="eastAsia" w:eastAsia="仿宋_GB2312"/>
          <w:bCs/>
          <w:sz w:val="24"/>
          <w:lang w:val="en-US" w:eastAsia="zh-CN"/>
        </w:rPr>
        <w:t>环境条件</w:t>
      </w:r>
      <w:r>
        <w:rPr>
          <w:rFonts w:hint="eastAsia" w:eastAsia="仿宋_GB2312"/>
          <w:bCs/>
          <w:sz w:val="24"/>
        </w:rPr>
        <w:t>”的表述内容， 修订原因：修改了部分词语表述，语言更加规范。</w:t>
      </w:r>
    </w:p>
    <w:p>
      <w:pPr>
        <w:spacing w:line="400" w:lineRule="exact"/>
        <w:ind w:firstLine="480" w:firstLineChars="200"/>
        <w:rPr>
          <w:rFonts w:hint="eastAsia" w:eastAsia="仿宋_GB2312"/>
          <w:bCs/>
          <w:sz w:val="24"/>
        </w:rPr>
      </w:pPr>
      <w:r>
        <w:rPr>
          <w:rFonts w:hint="eastAsia" w:eastAsia="仿宋_GB2312"/>
          <w:bCs/>
          <w:sz w:val="24"/>
        </w:rPr>
        <w:t>（2）更改“</w:t>
      </w:r>
      <w:r>
        <w:rPr>
          <w:rFonts w:hint="eastAsia" w:eastAsia="仿宋_GB2312"/>
          <w:bCs/>
          <w:sz w:val="24"/>
          <w:lang w:val="en-US" w:eastAsia="zh-CN"/>
        </w:rPr>
        <w:t>技术环节</w:t>
      </w:r>
      <w:r>
        <w:rPr>
          <w:rFonts w:hint="eastAsia" w:eastAsia="仿宋_GB2312"/>
          <w:bCs/>
          <w:sz w:val="24"/>
        </w:rPr>
        <w:t>”</w:t>
      </w:r>
      <w:r>
        <w:rPr>
          <w:rFonts w:hint="eastAsia" w:eastAsia="仿宋_GB2312"/>
          <w:bCs/>
          <w:sz w:val="24"/>
          <w:lang w:val="en-US" w:eastAsia="zh-CN"/>
        </w:rPr>
        <w:t>为“技术措施”</w:t>
      </w:r>
      <w:r>
        <w:rPr>
          <w:rFonts w:hint="eastAsia" w:eastAsia="仿宋_GB2312"/>
          <w:bCs/>
          <w:sz w:val="24"/>
        </w:rPr>
        <w:t>，修订原因：修改</w:t>
      </w:r>
      <w:r>
        <w:rPr>
          <w:rFonts w:hint="eastAsia" w:eastAsia="仿宋_GB2312"/>
          <w:bCs/>
          <w:sz w:val="24"/>
          <w:lang w:val="en-US" w:eastAsia="zh-CN"/>
        </w:rPr>
        <w:t>词语表述，更贴切文本内容</w:t>
      </w:r>
      <w:r>
        <w:rPr>
          <w:rFonts w:hint="eastAsia" w:eastAsia="仿宋_GB2312"/>
          <w:bCs/>
          <w:sz w:val="24"/>
        </w:rPr>
        <w:t>。</w:t>
      </w:r>
    </w:p>
    <w:p>
      <w:pPr>
        <w:spacing w:line="400" w:lineRule="exact"/>
        <w:ind w:firstLine="480" w:firstLineChars="200"/>
        <w:rPr>
          <w:rFonts w:hint="eastAsia" w:eastAsia="仿宋_GB2312"/>
          <w:bCs/>
          <w:sz w:val="24"/>
        </w:rPr>
      </w:pPr>
      <w:r>
        <w:rPr>
          <w:rFonts w:hint="eastAsia" w:eastAsia="仿宋_GB2312"/>
          <w:bCs/>
          <w:sz w:val="24"/>
          <w:lang w:val="en-US" w:eastAsia="zh-CN"/>
        </w:rPr>
        <w:t>（3）更改了“果园密度”、“砧木品种”、“土肥管理”的表述内容，修订原因：增加具体细节内容，提高可操作性。</w:t>
      </w:r>
    </w:p>
    <w:p>
      <w:pPr>
        <w:spacing w:line="400" w:lineRule="exact"/>
        <w:ind w:firstLine="480" w:firstLineChars="200"/>
        <w:rPr>
          <w:rFonts w:hint="eastAsia" w:eastAsia="仿宋_GB2312"/>
          <w:bCs/>
          <w:sz w:val="24"/>
        </w:rPr>
      </w:pPr>
      <w:r>
        <w:rPr>
          <w:rFonts w:hint="eastAsia" w:eastAsia="仿宋_GB2312"/>
          <w:bCs/>
          <w:sz w:val="24"/>
        </w:rPr>
        <w:t>3、涉及到的技术指标修改有</w:t>
      </w:r>
      <w:r>
        <w:rPr>
          <w:rFonts w:hint="eastAsia" w:eastAsia="仿宋_GB2312"/>
          <w:bCs/>
          <w:sz w:val="24"/>
          <w:lang w:val="en-US" w:eastAsia="zh-CN"/>
        </w:rPr>
        <w:t>2</w:t>
      </w:r>
      <w:r>
        <w:rPr>
          <w:rFonts w:hint="eastAsia" w:eastAsia="仿宋_GB2312"/>
          <w:bCs/>
          <w:sz w:val="24"/>
        </w:rPr>
        <w:t>项：</w:t>
      </w:r>
    </w:p>
    <w:p>
      <w:pPr>
        <w:spacing w:line="360" w:lineRule="auto"/>
        <w:ind w:firstLine="480" w:firstLineChars="200"/>
        <w:rPr>
          <w:rFonts w:ascii="仿宋_GB2312" w:hAnsi="宋体" w:eastAsia="仿宋_GB2312"/>
          <w:sz w:val="24"/>
        </w:rPr>
      </w:pPr>
      <w:r>
        <w:rPr>
          <w:rFonts w:hint="eastAsia" w:ascii="仿宋_GB2312" w:hAnsi="宋体" w:eastAsia="仿宋_GB2312"/>
          <w:sz w:val="24"/>
          <w:lang w:eastAsia="zh-CN"/>
        </w:rPr>
        <w:t>（</w:t>
      </w:r>
      <w:r>
        <w:rPr>
          <w:rFonts w:hint="eastAsia" w:ascii="仿宋_GB2312" w:hAnsi="宋体" w:eastAsia="仿宋_GB2312"/>
          <w:sz w:val="24"/>
          <w:lang w:val="en-US" w:eastAsia="zh-CN"/>
        </w:rPr>
        <w:t>1</w:t>
      </w:r>
      <w:r>
        <w:rPr>
          <w:rFonts w:hint="eastAsia" w:ascii="仿宋_GB2312" w:hAnsi="宋体" w:eastAsia="仿宋_GB2312"/>
          <w:sz w:val="24"/>
          <w:lang w:eastAsia="zh-CN"/>
        </w:rPr>
        <w:t>）</w:t>
      </w:r>
      <w:r>
        <w:rPr>
          <w:rFonts w:hint="eastAsia" w:ascii="仿宋_GB2312" w:hAnsi="宋体" w:eastAsia="仿宋_GB2312"/>
          <w:sz w:val="24"/>
        </w:rPr>
        <w:t>果园密度与动态密度调控（5.</w:t>
      </w:r>
      <w:r>
        <w:rPr>
          <w:rFonts w:ascii="仿宋_GB2312" w:hAnsi="宋体" w:eastAsia="仿宋_GB2312"/>
          <w:sz w:val="24"/>
        </w:rPr>
        <w:t>1</w:t>
      </w:r>
      <w:r>
        <w:rPr>
          <w:rFonts w:hint="eastAsia" w:ascii="仿宋_GB2312" w:hAnsi="宋体" w:eastAsia="仿宋_GB2312"/>
          <w:sz w:val="24"/>
        </w:rPr>
        <w:t>）</w:t>
      </w:r>
    </w:p>
    <w:p>
      <w:pPr>
        <w:spacing w:line="360" w:lineRule="auto"/>
        <w:ind w:firstLine="480" w:firstLineChars="200"/>
        <w:rPr>
          <w:rFonts w:hint="default" w:ascii="仿宋_GB2312" w:hAnsi="宋体" w:eastAsia="仿宋_GB2312"/>
          <w:sz w:val="24"/>
          <w:lang w:val="en-US" w:eastAsia="zh-CN"/>
        </w:rPr>
      </w:pPr>
      <w:r>
        <w:rPr>
          <w:rFonts w:hint="default" w:ascii="Calibri" w:hAnsi="Calibri" w:eastAsia="仿宋_GB2312" w:cs="Calibri"/>
          <w:sz w:val="24"/>
        </w:rPr>
        <w:t>①</w:t>
      </w:r>
      <w:r>
        <w:rPr>
          <w:rFonts w:hint="eastAsia" w:ascii="仿宋_GB2312" w:hAnsi="宋体" w:eastAsia="仿宋_GB2312"/>
          <w:sz w:val="24"/>
        </w:rPr>
        <w:t>确定依据</w:t>
      </w:r>
      <w:r>
        <w:rPr>
          <w:rFonts w:hint="eastAsia" w:ascii="仿宋_GB2312" w:hAnsi="宋体" w:eastAsia="仿宋_GB2312"/>
          <w:sz w:val="24"/>
          <w:lang w:val="en-US" w:eastAsia="zh-CN"/>
        </w:rPr>
        <w:t xml:space="preserve">  </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t>通过实地调查示范果园在幼树期、结果期、盛果期果园密度，以及对果园产量及果实品质的影响规律，提出不同树龄阶段的适宜果园密度核心技术参数。</w:t>
      </w:r>
    </w:p>
    <w:p>
      <w:pPr>
        <w:spacing w:line="360" w:lineRule="auto"/>
        <w:ind w:firstLine="420" w:firstLineChars="200"/>
        <w:jc w:val="center"/>
        <w:rPr>
          <w:rFonts w:hint="eastAsia" w:ascii="仿宋_GB2312" w:hAnsi="宋体" w:eastAsia="仿宋_GB2312"/>
          <w:sz w:val="32"/>
          <w:szCs w:val="32"/>
        </w:rPr>
      </w:pPr>
      <w:r>
        <w:pict>
          <v:shape id="_x0000_i1025" o:spt="75" type="#_x0000_t75" style="height:155.5pt;width:253.4pt;" filled="f" o:preferrelative="t" stroked="f" coordsize="21600,21600">
            <v:path/>
            <v:fill on="f" focussize="0,0"/>
            <v:stroke on="f"/>
            <v:imagedata r:id="rId5" o:title=""/>
            <o:lock v:ext="edit" aspectratio="t"/>
            <w10:wrap type="none"/>
            <w10:anchorlock/>
          </v:shape>
        </w:pict>
      </w:r>
    </w:p>
    <w:p>
      <w:pPr>
        <w:spacing w:line="360" w:lineRule="auto"/>
        <w:ind w:firstLine="480" w:firstLineChars="200"/>
        <w:jc w:val="center"/>
        <w:rPr>
          <w:rFonts w:hint="eastAsia" w:ascii="仿宋_GB2312" w:hAnsi="宋体" w:eastAsia="仿宋_GB2312"/>
          <w:sz w:val="24"/>
        </w:rPr>
      </w:pPr>
      <w:r>
        <w:rPr>
          <w:rFonts w:hint="eastAsia" w:ascii="仿宋_GB2312" w:hAnsi="宋体" w:eastAsia="仿宋_GB2312"/>
          <w:sz w:val="24"/>
        </w:rPr>
        <w:t>研究结果：在3-4.5米行距处理中果园产量较高，在4-5.5米行距处理中果实含糖量较高。综合分析果园产量和果实品质，幼树期果园行距4米为宜。</w:t>
      </w:r>
      <w:r>
        <w:pict>
          <v:shape id="_x0000_i1026" o:spt="75" type="#_x0000_t75" style="height:137.3pt;width:237.35pt;" filled="f" o:preferrelative="t" stroked="f" coordsize="21600,21600">
            <v:path/>
            <v:fill on="f" focussize="0,0"/>
            <v:stroke on="f"/>
            <v:imagedata r:id="rId6" o:title=""/>
            <o:lock v:ext="edit" aspectratio="t"/>
            <w10:wrap type="none"/>
            <w10:anchorlock/>
          </v:shape>
        </w:pict>
      </w:r>
    </w:p>
    <w:p>
      <w:pPr>
        <w:spacing w:line="360" w:lineRule="auto"/>
        <w:ind w:firstLine="480" w:firstLineChars="200"/>
        <w:jc w:val="center"/>
        <w:rPr>
          <w:rFonts w:hint="eastAsia" w:ascii="仿宋_GB2312" w:hAnsi="宋体" w:eastAsia="仿宋_GB2312"/>
          <w:sz w:val="24"/>
        </w:rPr>
      </w:pPr>
    </w:p>
    <w:p>
      <w:pPr>
        <w:spacing w:line="360" w:lineRule="auto"/>
        <w:ind w:firstLine="480" w:firstLineChars="200"/>
        <w:rPr>
          <w:rFonts w:hint="eastAsia" w:ascii="仿宋_GB2312" w:hAnsi="宋体" w:eastAsia="仿宋_GB2312"/>
          <w:sz w:val="24"/>
        </w:rPr>
      </w:pPr>
      <w:r>
        <w:rPr>
          <w:rFonts w:hint="eastAsia" w:ascii="仿宋_GB2312" w:hAnsi="宋体" w:eastAsia="仿宋_GB2312"/>
          <w:sz w:val="24"/>
        </w:rPr>
        <w:t>研究结果： 在6米处理区间形成果园产量的高峰值，在5.5-6.5米行距处理区间果实含糖量较高。综合分析果园产量和果实品质，结果期苹果高光效果园行距选择6米为宜。</w:t>
      </w:r>
    </w:p>
    <w:p>
      <w:pPr>
        <w:spacing w:line="360" w:lineRule="auto"/>
        <w:ind w:firstLine="480" w:firstLineChars="200"/>
        <w:rPr>
          <w:rFonts w:ascii="仿宋_GB2312" w:hAnsi="宋体" w:eastAsia="仿宋_GB2312"/>
          <w:sz w:val="24"/>
        </w:rPr>
      </w:pPr>
      <w:r>
        <w:rPr>
          <w:rFonts w:hint="eastAsia" w:ascii="仿宋_GB2312" w:hAnsi="宋体" w:eastAsia="仿宋_GB2312"/>
          <w:sz w:val="24"/>
        </w:rPr>
        <w:pict>
          <v:shape id="Object 28" o:spid="_x0000_s1026" o:spt="75" type="#_x0000_t75" style="position:absolute;left:0pt;margin-left:88.45pt;margin-top:18.65pt;height:145.2pt;width:268.6pt;mso-wrap-distance-bottom:0pt;mso-wrap-distance-top:0pt;z-index:251659264;mso-width-relative:page;mso-height-relative:page;" o:ole="t" filled="f" o:preferrelative="t" stroked="f" coordsize="21600,21600">
            <v:path/>
            <v:fill on="f" focussize="0,0"/>
            <v:stroke on="f" weight="7.8740157480315e-5pt"/>
            <v:imagedata r:id="rId8" o:title=""/>
            <o:lock v:ext="edit" rotation="t" aspectratio="t"/>
            <w10:wrap type="topAndBottom"/>
          </v:shape>
          <o:OLEObject Type="Embed" ProgID="Excel.Chart.8" ShapeID="Object 28" DrawAspect="Content" ObjectID="_1468075725" r:id="rId7">
            <o:LockedField>false</o:LockedField>
          </o:OLEObject>
        </w:pict>
      </w:r>
    </w:p>
    <w:p>
      <w:pPr>
        <w:spacing w:line="360" w:lineRule="auto"/>
        <w:rPr>
          <w:rFonts w:hint="eastAsia" w:ascii="仿宋_GB2312" w:hAnsi="宋体" w:eastAsia="仿宋_GB2312"/>
          <w:sz w:val="24"/>
        </w:rPr>
      </w:pPr>
      <w:r>
        <w:rPr>
          <w:rFonts w:hint="eastAsia" w:ascii="仿宋_GB2312" w:hAnsi="宋体" w:eastAsia="仿宋_GB2312"/>
          <w:sz w:val="24"/>
          <w:lang w:val="en-US" w:eastAsia="zh-CN"/>
        </w:rPr>
        <w:t xml:space="preserve">    </w:t>
      </w:r>
      <w:r>
        <w:rPr>
          <w:rFonts w:hint="eastAsia" w:ascii="仿宋_GB2312" w:hAnsi="宋体" w:eastAsia="仿宋_GB2312"/>
          <w:sz w:val="24"/>
        </w:rPr>
        <w:t>研究结果：果园产量8米处理区间形成高峰，在7-9米行距处理区间果实含糖量较高。综合果园产量和果实品质分析，盛果期苹果高光效果园的适宜行距为8米。</w:t>
      </w:r>
    </w:p>
    <w:p>
      <w:pPr>
        <w:spacing w:line="360" w:lineRule="auto"/>
        <w:ind w:firstLine="480" w:firstLineChars="200"/>
        <w:rPr>
          <w:rFonts w:ascii="仿宋_GB2312" w:hAnsi="宋体" w:eastAsia="仿宋_GB2312"/>
          <w:sz w:val="24"/>
        </w:rPr>
      </w:pPr>
      <w:r>
        <w:rPr>
          <w:rFonts w:hint="default" w:ascii="Calibri" w:hAnsi="Calibri" w:eastAsia="仿宋_GB2312" w:cs="Calibri"/>
          <w:sz w:val="24"/>
        </w:rPr>
        <w:t>②</w:t>
      </w:r>
      <w:r>
        <w:rPr>
          <w:rFonts w:hint="eastAsia" w:ascii="仿宋_GB2312" w:hAnsi="宋体" w:eastAsia="仿宋_GB2312"/>
          <w:sz w:val="24"/>
        </w:rPr>
        <w:t>验证方法</w:t>
      </w:r>
    </w:p>
    <w:p>
      <w:pPr>
        <w:spacing w:line="360" w:lineRule="auto"/>
        <w:ind w:firstLine="480" w:firstLineChars="200"/>
        <w:jc w:val="left"/>
        <w:rPr>
          <w:rFonts w:hint="eastAsia" w:ascii="仿宋_GB2312" w:hAnsi="宋体" w:eastAsia="仿宋_GB2312"/>
          <w:sz w:val="24"/>
        </w:rPr>
      </w:pPr>
      <w:r>
        <w:rPr>
          <w:rFonts w:hint="eastAsia" w:ascii="仿宋_GB2312" w:hAnsi="宋体" w:eastAsia="仿宋_GB2312"/>
          <w:sz w:val="24"/>
        </w:rPr>
        <w:t>标准修订科研团队长期在运城市临猗县、万荣县、太原市阳曲县等地进行高光效树形改造和高光效果园建设技术示范，在上述基地通过不同树龄阶段的果实品质的适宜研究结果进行验证。</w:t>
      </w:r>
    </w:p>
    <w:p>
      <w:pPr>
        <w:numPr>
          <w:ilvl w:val="0"/>
          <w:numId w:val="2"/>
        </w:numPr>
        <w:spacing w:line="360" w:lineRule="auto"/>
        <w:ind w:firstLine="480" w:firstLineChars="200"/>
        <w:jc w:val="left"/>
        <w:rPr>
          <w:rFonts w:hint="eastAsia" w:ascii="仿宋_GB2312" w:hAnsi="宋体" w:eastAsia="仿宋_GB2312"/>
          <w:sz w:val="24"/>
        </w:rPr>
      </w:pPr>
      <w:r>
        <w:rPr>
          <w:rFonts w:hint="eastAsia" w:ascii="仿宋_GB2312" w:hAnsi="宋体" w:eastAsia="仿宋_GB2312"/>
          <w:sz w:val="24"/>
        </w:rPr>
        <w:t>疏花技术（9.2.1）</w:t>
      </w:r>
    </w:p>
    <w:p>
      <w:pPr>
        <w:numPr>
          <w:ilvl w:val="0"/>
          <w:numId w:val="0"/>
        </w:numPr>
        <w:spacing w:line="360" w:lineRule="auto"/>
        <w:ind w:firstLine="480" w:firstLineChars="200"/>
        <w:jc w:val="left"/>
        <w:rPr>
          <w:rFonts w:hint="eastAsia" w:ascii="仿宋_GB2312" w:hAnsi="宋体" w:eastAsia="仿宋_GB2312"/>
          <w:sz w:val="24"/>
        </w:rPr>
      </w:pPr>
      <w:r>
        <w:rPr>
          <w:rFonts w:hint="default" w:ascii="Calibri" w:hAnsi="Calibri" w:eastAsia="仿宋_GB2312" w:cs="Calibri"/>
          <w:sz w:val="24"/>
        </w:rPr>
        <w:t>①</w:t>
      </w:r>
      <w:r>
        <w:rPr>
          <w:rFonts w:hint="eastAsia" w:ascii="仿宋_GB2312" w:hAnsi="宋体" w:eastAsia="仿宋_GB2312"/>
          <w:sz w:val="24"/>
        </w:rPr>
        <w:t>确定依据</w:t>
      </w:r>
      <w:r>
        <w:rPr>
          <w:rFonts w:hint="eastAsia" w:ascii="仿宋_GB2312" w:hAnsi="宋体" w:eastAsia="仿宋_GB2312"/>
          <w:sz w:val="24"/>
          <w:lang w:val="en-US" w:eastAsia="zh-CN"/>
        </w:rPr>
        <w:t xml:space="preserve"> </w:t>
      </w:r>
    </w:p>
    <w:p>
      <w:pPr>
        <w:spacing w:line="360" w:lineRule="auto"/>
        <w:ind w:firstLine="480" w:firstLineChars="200"/>
        <w:jc w:val="left"/>
        <w:rPr>
          <w:rFonts w:hint="eastAsia" w:ascii="仿宋_GB2312" w:hAnsi="宋体" w:eastAsia="仿宋_GB2312"/>
          <w:sz w:val="24"/>
        </w:rPr>
      </w:pPr>
      <w:r>
        <w:rPr>
          <w:rFonts w:hint="eastAsia" w:ascii="仿宋_GB2312" w:hAnsi="宋体" w:eastAsia="仿宋_GB2312"/>
          <w:sz w:val="24"/>
        </w:rPr>
        <w:t>通过不同人工授粉技术实施期间关键授粉介（辅料）筛选，确定苹果高光效果园实施人工授技术时适宜授粉辅料。</w:t>
      </w:r>
    </w:p>
    <w:p>
      <w:pPr>
        <w:spacing w:line="360" w:lineRule="auto"/>
        <w:jc w:val="center"/>
        <w:rPr>
          <w:rFonts w:hint="eastAsia" w:ascii="仿宋_GB2312" w:hAnsi="宋体" w:eastAsia="仿宋_GB2312"/>
          <w:sz w:val="24"/>
        </w:rPr>
      </w:pPr>
      <w:r>
        <w:rPr>
          <w:rFonts w:hint="eastAsia" w:ascii="仿宋_GB2312" w:hAnsi="宋体" w:eastAsia="仿宋_GB2312"/>
          <w:sz w:val="24"/>
        </w:rPr>
        <w:t>表2  不同授粉辅料对红富士苹果幼果质量的影响</w:t>
      </w:r>
    </w:p>
    <w:tbl>
      <w:tblPr>
        <w:tblStyle w:val="11"/>
        <w:tblW w:w="9426" w:type="dxa"/>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60"/>
        <w:gridCol w:w="1573"/>
        <w:gridCol w:w="1573"/>
        <w:gridCol w:w="1573"/>
        <w:gridCol w:w="1573"/>
        <w:gridCol w:w="1574"/>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trPr>
        <w:tc>
          <w:tcPr>
            <w:tcW w:w="1560" w:type="dxa"/>
            <w:tcBorders>
              <w:top w:val="single" w:color="auto" w:sz="12" w:space="0"/>
              <w:bottom w:val="single" w:color="auto" w:sz="6" w:space="0"/>
            </w:tcBorders>
            <w:noWrap w:val="0"/>
            <w:vAlign w:val="center"/>
          </w:tcPr>
          <w:p>
            <w:pPr>
              <w:jc w:val="center"/>
            </w:pPr>
            <w:r>
              <w:rPr>
                <w:rFonts w:hint="eastAsia" w:ascii="宋体" w:hAnsi="宋体" w:cs="宋体"/>
              </w:rPr>
              <w:t>试验处理</w:t>
            </w:r>
          </w:p>
        </w:tc>
        <w:tc>
          <w:tcPr>
            <w:tcW w:w="1573" w:type="dxa"/>
            <w:tcBorders>
              <w:top w:val="single" w:color="auto" w:sz="12" w:space="0"/>
              <w:bottom w:val="single" w:color="auto" w:sz="6" w:space="0"/>
            </w:tcBorders>
            <w:noWrap w:val="0"/>
            <w:vAlign w:val="center"/>
          </w:tcPr>
          <w:p>
            <w:pPr>
              <w:jc w:val="center"/>
            </w:pPr>
            <w:r>
              <w:rPr>
                <w:rFonts w:hint="eastAsia" w:ascii="宋体" w:hAnsi="宋体" w:cs="宋体"/>
              </w:rPr>
              <w:t>花序坐果率</w:t>
            </w:r>
          </w:p>
          <w:p>
            <w:pPr>
              <w:jc w:val="center"/>
            </w:pPr>
            <w:r>
              <w:rPr>
                <w:rFonts w:hint="eastAsia" w:ascii="宋体" w:hAnsi="宋体" w:cs="宋体"/>
              </w:rPr>
              <w:t>（</w:t>
            </w:r>
            <w:r>
              <w:t>%</w:t>
            </w:r>
            <w:r>
              <w:rPr>
                <w:rFonts w:hint="eastAsia" w:ascii="宋体" w:hAnsi="宋体" w:cs="宋体"/>
              </w:rPr>
              <w:t>）</w:t>
            </w:r>
          </w:p>
        </w:tc>
        <w:tc>
          <w:tcPr>
            <w:tcW w:w="1573" w:type="dxa"/>
            <w:tcBorders>
              <w:top w:val="single" w:color="auto" w:sz="12" w:space="0"/>
              <w:bottom w:val="single" w:color="auto" w:sz="6" w:space="0"/>
            </w:tcBorders>
            <w:noWrap w:val="0"/>
            <w:vAlign w:val="center"/>
          </w:tcPr>
          <w:p>
            <w:pPr>
              <w:jc w:val="center"/>
            </w:pPr>
            <w:r>
              <w:rPr>
                <w:rFonts w:hint="eastAsia" w:ascii="宋体" w:hAnsi="宋体" w:cs="宋体"/>
              </w:rPr>
              <w:t>单果重（幼）</w:t>
            </w:r>
          </w:p>
          <w:p>
            <w:pPr>
              <w:jc w:val="center"/>
            </w:pPr>
            <w:r>
              <w:rPr>
                <w:rFonts w:hint="eastAsia" w:ascii="宋体" w:hAnsi="宋体" w:cs="宋体"/>
              </w:rPr>
              <w:t>（</w:t>
            </w:r>
            <w:r>
              <w:t>g</w:t>
            </w:r>
            <w:r>
              <w:rPr>
                <w:rFonts w:hint="eastAsia" w:ascii="宋体" w:hAnsi="宋体" w:cs="宋体"/>
              </w:rPr>
              <w:t>）</w:t>
            </w:r>
          </w:p>
        </w:tc>
        <w:tc>
          <w:tcPr>
            <w:tcW w:w="1573" w:type="dxa"/>
            <w:tcBorders>
              <w:top w:val="single" w:color="auto" w:sz="12" w:space="0"/>
              <w:bottom w:val="single" w:color="auto" w:sz="6" w:space="0"/>
            </w:tcBorders>
            <w:noWrap w:val="0"/>
            <w:vAlign w:val="center"/>
          </w:tcPr>
          <w:p>
            <w:pPr>
              <w:jc w:val="center"/>
            </w:pPr>
            <w:r>
              <w:rPr>
                <w:rFonts w:hint="eastAsia" w:ascii="宋体" w:hAnsi="宋体" w:cs="宋体"/>
              </w:rPr>
              <w:t>果型指数</w:t>
            </w:r>
          </w:p>
        </w:tc>
        <w:tc>
          <w:tcPr>
            <w:tcW w:w="1573" w:type="dxa"/>
            <w:tcBorders>
              <w:top w:val="single" w:color="auto" w:sz="12" w:space="0"/>
              <w:bottom w:val="single" w:color="auto" w:sz="6" w:space="0"/>
            </w:tcBorders>
            <w:noWrap w:val="0"/>
            <w:vAlign w:val="center"/>
          </w:tcPr>
          <w:p>
            <w:pPr>
              <w:jc w:val="center"/>
            </w:pPr>
            <w:r>
              <w:rPr>
                <w:rFonts w:hint="eastAsia" w:ascii="宋体" w:hAnsi="宋体" w:cs="宋体"/>
              </w:rPr>
              <w:t>畸形果率（</w:t>
            </w:r>
            <w:r>
              <w:t>%</w:t>
            </w:r>
            <w:r>
              <w:rPr>
                <w:rFonts w:hint="eastAsia" w:ascii="宋体" w:hAnsi="宋体" w:cs="宋体"/>
              </w:rPr>
              <w:t>）</w:t>
            </w:r>
          </w:p>
        </w:tc>
        <w:tc>
          <w:tcPr>
            <w:tcW w:w="1574" w:type="dxa"/>
            <w:tcBorders>
              <w:top w:val="single" w:color="auto" w:sz="12" w:space="0"/>
              <w:bottom w:val="single" w:color="auto" w:sz="6" w:space="0"/>
            </w:tcBorders>
            <w:noWrap w:val="0"/>
            <w:vAlign w:val="center"/>
          </w:tcPr>
          <w:p>
            <w:pPr>
              <w:jc w:val="center"/>
            </w:pPr>
            <w:r>
              <w:rPr>
                <w:rFonts w:hint="eastAsia" w:ascii="宋体" w:hAnsi="宋体" w:cs="宋体"/>
              </w:rPr>
              <w:t>脱萼果率</w:t>
            </w:r>
          </w:p>
          <w:p>
            <w:pPr>
              <w:jc w:val="center"/>
            </w:pPr>
            <w:r>
              <w:rPr>
                <w:rFonts w:hint="eastAsia" w:ascii="宋体" w:hAnsi="宋体" w:cs="宋体"/>
              </w:rPr>
              <w:t>（</w:t>
            </w:r>
            <w:r>
              <w:t>%</w:t>
            </w:r>
            <w:r>
              <w:rPr>
                <w:rFonts w:hint="eastAsia" w:ascii="宋体" w:hAnsi="宋体" w:cs="宋体"/>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1" w:hRule="atLeast"/>
        </w:trPr>
        <w:tc>
          <w:tcPr>
            <w:tcW w:w="1560" w:type="dxa"/>
            <w:tcBorders>
              <w:top w:val="single" w:color="auto" w:sz="6" w:space="0"/>
              <w:bottom w:val="nil"/>
            </w:tcBorders>
            <w:noWrap w:val="0"/>
            <w:vAlign w:val="center"/>
          </w:tcPr>
          <w:p>
            <w:pPr>
              <w:jc w:val="center"/>
            </w:pPr>
            <w:r>
              <w:rPr>
                <w:rFonts w:hint="eastAsia" w:ascii="宋体" w:hAnsi="宋体" w:cs="宋体"/>
              </w:rPr>
              <w:t>松花粉</w:t>
            </w:r>
          </w:p>
        </w:tc>
        <w:tc>
          <w:tcPr>
            <w:tcW w:w="1573" w:type="dxa"/>
            <w:tcBorders>
              <w:top w:val="single" w:color="auto" w:sz="6" w:space="0"/>
              <w:bottom w:val="nil"/>
            </w:tcBorders>
            <w:noWrap w:val="0"/>
            <w:vAlign w:val="center"/>
          </w:tcPr>
          <w:p>
            <w:pPr>
              <w:jc w:val="center"/>
            </w:pPr>
            <w:r>
              <w:t>38.7±1.7a</w:t>
            </w:r>
          </w:p>
        </w:tc>
        <w:tc>
          <w:tcPr>
            <w:tcW w:w="1573" w:type="dxa"/>
            <w:tcBorders>
              <w:top w:val="single" w:color="auto" w:sz="6" w:space="0"/>
              <w:bottom w:val="nil"/>
            </w:tcBorders>
            <w:noWrap w:val="0"/>
            <w:vAlign w:val="center"/>
          </w:tcPr>
          <w:p>
            <w:pPr>
              <w:jc w:val="center"/>
            </w:pPr>
            <w:r>
              <w:t>12.4±0.2a</w:t>
            </w:r>
          </w:p>
        </w:tc>
        <w:tc>
          <w:tcPr>
            <w:tcW w:w="1573" w:type="dxa"/>
            <w:tcBorders>
              <w:top w:val="single" w:color="auto" w:sz="6" w:space="0"/>
              <w:bottom w:val="nil"/>
            </w:tcBorders>
            <w:noWrap w:val="0"/>
            <w:vAlign w:val="center"/>
          </w:tcPr>
          <w:p>
            <w:pPr>
              <w:jc w:val="center"/>
            </w:pPr>
            <w:r>
              <w:t>0.870±0.008a</w:t>
            </w:r>
          </w:p>
        </w:tc>
        <w:tc>
          <w:tcPr>
            <w:tcW w:w="1573" w:type="dxa"/>
            <w:tcBorders>
              <w:top w:val="single" w:color="auto" w:sz="6" w:space="0"/>
              <w:bottom w:val="nil"/>
            </w:tcBorders>
            <w:noWrap w:val="0"/>
            <w:vAlign w:val="center"/>
          </w:tcPr>
          <w:p>
            <w:pPr>
              <w:jc w:val="center"/>
            </w:pPr>
            <w:r>
              <w:t>3.9±0.3ab</w:t>
            </w:r>
          </w:p>
        </w:tc>
        <w:tc>
          <w:tcPr>
            <w:tcW w:w="1574" w:type="dxa"/>
            <w:tcBorders>
              <w:top w:val="single" w:color="auto" w:sz="6" w:space="0"/>
              <w:bottom w:val="nil"/>
            </w:tcBorders>
            <w:noWrap w:val="0"/>
            <w:vAlign w:val="center"/>
          </w:tcPr>
          <w:p>
            <w:pPr>
              <w:jc w:val="center"/>
            </w:pPr>
            <w:r>
              <w:t>78.2±1.5a</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1560" w:type="dxa"/>
            <w:tcBorders>
              <w:top w:val="nil"/>
              <w:bottom w:val="nil"/>
            </w:tcBorders>
            <w:noWrap w:val="0"/>
            <w:vAlign w:val="center"/>
          </w:tcPr>
          <w:p>
            <w:pPr>
              <w:jc w:val="center"/>
            </w:pPr>
            <w:r>
              <w:rPr>
                <w:rFonts w:hint="eastAsia" w:ascii="宋体" w:hAnsi="宋体" w:cs="宋体"/>
              </w:rPr>
              <w:t>石松子花粉</w:t>
            </w:r>
          </w:p>
        </w:tc>
        <w:tc>
          <w:tcPr>
            <w:tcW w:w="1573" w:type="dxa"/>
            <w:tcBorders>
              <w:top w:val="nil"/>
              <w:bottom w:val="nil"/>
            </w:tcBorders>
            <w:noWrap w:val="0"/>
            <w:vAlign w:val="center"/>
          </w:tcPr>
          <w:p>
            <w:pPr>
              <w:jc w:val="center"/>
            </w:pPr>
            <w:r>
              <w:t>41.2±1.2a</w:t>
            </w:r>
          </w:p>
        </w:tc>
        <w:tc>
          <w:tcPr>
            <w:tcW w:w="1573" w:type="dxa"/>
            <w:tcBorders>
              <w:top w:val="nil"/>
              <w:bottom w:val="nil"/>
            </w:tcBorders>
            <w:noWrap w:val="0"/>
            <w:vAlign w:val="center"/>
          </w:tcPr>
          <w:p>
            <w:pPr>
              <w:jc w:val="center"/>
            </w:pPr>
            <w:r>
              <w:t>12.7±0.2a</w:t>
            </w:r>
          </w:p>
        </w:tc>
        <w:tc>
          <w:tcPr>
            <w:tcW w:w="1573" w:type="dxa"/>
            <w:tcBorders>
              <w:top w:val="nil"/>
              <w:bottom w:val="nil"/>
            </w:tcBorders>
            <w:noWrap w:val="0"/>
            <w:vAlign w:val="center"/>
          </w:tcPr>
          <w:p>
            <w:pPr>
              <w:jc w:val="center"/>
            </w:pPr>
            <w:r>
              <w:t>0.873±0.007a</w:t>
            </w:r>
          </w:p>
        </w:tc>
        <w:tc>
          <w:tcPr>
            <w:tcW w:w="1573" w:type="dxa"/>
            <w:tcBorders>
              <w:top w:val="nil"/>
              <w:bottom w:val="nil"/>
            </w:tcBorders>
            <w:noWrap w:val="0"/>
            <w:vAlign w:val="center"/>
          </w:tcPr>
          <w:p>
            <w:pPr>
              <w:jc w:val="center"/>
            </w:pPr>
            <w:r>
              <w:t>3.2±0.3b</w:t>
            </w:r>
          </w:p>
        </w:tc>
        <w:tc>
          <w:tcPr>
            <w:tcW w:w="1574" w:type="dxa"/>
            <w:tcBorders>
              <w:top w:val="nil"/>
              <w:bottom w:val="nil"/>
            </w:tcBorders>
            <w:noWrap w:val="0"/>
            <w:vAlign w:val="center"/>
          </w:tcPr>
          <w:p>
            <w:pPr>
              <w:jc w:val="center"/>
            </w:pPr>
            <w:r>
              <w:t>79.7±1.3a</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3" w:hRule="atLeast"/>
        </w:trPr>
        <w:tc>
          <w:tcPr>
            <w:tcW w:w="1560" w:type="dxa"/>
            <w:tcBorders>
              <w:top w:val="nil"/>
              <w:bottom w:val="single" w:color="auto" w:sz="12" w:space="0"/>
            </w:tcBorders>
            <w:noWrap w:val="0"/>
            <w:vAlign w:val="center"/>
          </w:tcPr>
          <w:p>
            <w:pPr>
              <w:jc w:val="center"/>
            </w:pPr>
            <w:r>
              <w:rPr>
                <w:rFonts w:hint="eastAsia" w:ascii="宋体" w:hAnsi="宋体" w:cs="宋体"/>
              </w:rPr>
              <w:t>玉米淀粉</w:t>
            </w:r>
          </w:p>
        </w:tc>
        <w:tc>
          <w:tcPr>
            <w:tcW w:w="1573" w:type="dxa"/>
            <w:tcBorders>
              <w:top w:val="nil"/>
              <w:bottom w:val="single" w:color="auto" w:sz="12" w:space="0"/>
            </w:tcBorders>
            <w:noWrap w:val="0"/>
            <w:vAlign w:val="center"/>
          </w:tcPr>
          <w:p>
            <w:pPr>
              <w:jc w:val="center"/>
            </w:pPr>
            <w:r>
              <w:t>33.9±0.9b</w:t>
            </w:r>
          </w:p>
        </w:tc>
        <w:tc>
          <w:tcPr>
            <w:tcW w:w="1573" w:type="dxa"/>
            <w:tcBorders>
              <w:top w:val="nil"/>
              <w:bottom w:val="single" w:color="auto" w:sz="12" w:space="0"/>
            </w:tcBorders>
            <w:noWrap w:val="0"/>
            <w:vAlign w:val="center"/>
          </w:tcPr>
          <w:p>
            <w:pPr>
              <w:jc w:val="center"/>
            </w:pPr>
            <w:r>
              <w:t>12.2±0.1a</w:t>
            </w:r>
          </w:p>
        </w:tc>
        <w:tc>
          <w:tcPr>
            <w:tcW w:w="1573" w:type="dxa"/>
            <w:tcBorders>
              <w:top w:val="nil"/>
              <w:bottom w:val="single" w:color="auto" w:sz="12" w:space="0"/>
            </w:tcBorders>
            <w:noWrap w:val="0"/>
            <w:vAlign w:val="center"/>
          </w:tcPr>
          <w:p>
            <w:pPr>
              <w:jc w:val="center"/>
            </w:pPr>
            <w:r>
              <w:t>0.864±0.004a</w:t>
            </w:r>
          </w:p>
        </w:tc>
        <w:tc>
          <w:tcPr>
            <w:tcW w:w="1573" w:type="dxa"/>
            <w:tcBorders>
              <w:top w:val="nil"/>
              <w:bottom w:val="single" w:color="auto" w:sz="12" w:space="0"/>
            </w:tcBorders>
            <w:noWrap w:val="0"/>
            <w:vAlign w:val="center"/>
          </w:tcPr>
          <w:p>
            <w:pPr>
              <w:jc w:val="center"/>
            </w:pPr>
            <w:r>
              <w:t>4.7±0.3a</w:t>
            </w:r>
          </w:p>
        </w:tc>
        <w:tc>
          <w:tcPr>
            <w:tcW w:w="1574" w:type="dxa"/>
            <w:tcBorders>
              <w:top w:val="nil"/>
              <w:bottom w:val="single" w:color="auto" w:sz="12" w:space="0"/>
            </w:tcBorders>
            <w:noWrap w:val="0"/>
            <w:vAlign w:val="center"/>
          </w:tcPr>
          <w:p>
            <w:pPr>
              <w:jc w:val="center"/>
            </w:pPr>
            <w:r>
              <w:t>75.8±1.1a</w:t>
            </w:r>
          </w:p>
        </w:tc>
      </w:tr>
    </w:tbl>
    <w:p>
      <w:pPr>
        <w:spacing w:line="360" w:lineRule="auto"/>
        <w:ind w:firstLine="480" w:firstLineChars="200"/>
        <w:jc w:val="left"/>
        <w:rPr>
          <w:rFonts w:hint="eastAsia" w:ascii="仿宋_GB2312" w:hAnsi="宋体" w:eastAsia="仿宋_GB2312"/>
          <w:sz w:val="24"/>
        </w:rPr>
      </w:pPr>
      <w:r>
        <w:rPr>
          <w:rFonts w:hint="eastAsia" w:ascii="仿宋_GB2312" w:hAnsi="宋体" w:eastAsia="仿宋_GB2312"/>
          <w:sz w:val="24"/>
        </w:rPr>
        <w:t>结果表明，综合考虑花序坐果、畸形果等指标，人工授粉辅料以松花粉、石松子花粉处理效果较好。</w:t>
      </w:r>
    </w:p>
    <w:p>
      <w:pPr>
        <w:spacing w:line="360" w:lineRule="auto"/>
        <w:jc w:val="center"/>
        <w:rPr>
          <w:rFonts w:hint="eastAsia" w:ascii="仿宋_GB2312" w:hAnsi="宋体" w:eastAsia="仿宋_GB2312"/>
          <w:sz w:val="24"/>
        </w:rPr>
      </w:pPr>
      <w:r>
        <w:rPr>
          <w:rFonts w:hint="eastAsia" w:ascii="仿宋_GB2312" w:hAnsi="宋体" w:eastAsia="仿宋_GB2312"/>
          <w:sz w:val="24"/>
        </w:rPr>
        <w:t>表3  不同授粉组合对红富士苹果成熟期果实品质的影响</w:t>
      </w:r>
    </w:p>
    <w:tbl>
      <w:tblPr>
        <w:tblStyle w:val="11"/>
        <w:tblW w:w="9684" w:type="dxa"/>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76"/>
        <w:gridCol w:w="1401"/>
        <w:gridCol w:w="1401"/>
        <w:gridCol w:w="1402"/>
        <w:gridCol w:w="1401"/>
        <w:gridCol w:w="1401"/>
        <w:gridCol w:w="1402"/>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76" w:type="dxa"/>
            <w:tcBorders>
              <w:top w:val="single" w:color="auto" w:sz="12" w:space="0"/>
              <w:bottom w:val="single" w:color="auto" w:sz="6" w:space="0"/>
            </w:tcBorders>
            <w:noWrap w:val="0"/>
            <w:vAlign w:val="center"/>
          </w:tcPr>
          <w:p>
            <w:pPr>
              <w:jc w:val="center"/>
            </w:pPr>
            <w:r>
              <w:rPr>
                <w:rFonts w:hAnsi="宋体" w:eastAsia="Times New Roman"/>
              </w:rPr>
              <w:t>试验处理</w:t>
            </w:r>
          </w:p>
        </w:tc>
        <w:tc>
          <w:tcPr>
            <w:tcW w:w="1401" w:type="dxa"/>
            <w:tcBorders>
              <w:top w:val="single" w:color="auto" w:sz="12" w:space="0"/>
              <w:bottom w:val="single" w:color="auto" w:sz="6" w:space="0"/>
            </w:tcBorders>
            <w:noWrap w:val="0"/>
            <w:vAlign w:val="center"/>
          </w:tcPr>
          <w:p>
            <w:pPr>
              <w:jc w:val="center"/>
            </w:pPr>
            <w:r>
              <w:rPr>
                <w:rFonts w:hAnsi="宋体" w:eastAsia="Times New Roman"/>
              </w:rPr>
              <w:t>花色苷含量</w:t>
            </w:r>
          </w:p>
          <w:p>
            <w:pPr>
              <w:jc w:val="center"/>
            </w:pPr>
            <w:r>
              <w:t>(mg/100g)</w:t>
            </w:r>
          </w:p>
        </w:tc>
        <w:tc>
          <w:tcPr>
            <w:tcW w:w="1401" w:type="dxa"/>
            <w:tcBorders>
              <w:top w:val="single" w:color="auto" w:sz="12" w:space="0"/>
              <w:bottom w:val="single" w:color="auto" w:sz="6" w:space="0"/>
            </w:tcBorders>
            <w:noWrap w:val="0"/>
            <w:vAlign w:val="center"/>
          </w:tcPr>
          <w:p>
            <w:pPr>
              <w:jc w:val="center"/>
              <w:rPr>
                <w:rFonts w:hAnsi="宋体" w:eastAsia="Times New Roman"/>
              </w:rPr>
            </w:pPr>
            <w:r>
              <w:rPr>
                <w:rFonts w:hAnsi="宋体" w:eastAsia="Times New Roman"/>
              </w:rPr>
              <w:t>叶绿素含量</w:t>
            </w:r>
          </w:p>
          <w:p>
            <w:pPr>
              <w:jc w:val="center"/>
            </w:pPr>
            <w:r>
              <w:rPr>
                <w:rFonts w:hint="eastAsia" w:ascii="宋体" w:hAnsi="宋体" w:cs="宋体"/>
              </w:rPr>
              <w:t>（</w:t>
            </w:r>
            <w:r>
              <w:t>mg/g</w:t>
            </w:r>
            <w:r>
              <w:rPr>
                <w:rFonts w:hint="eastAsia" w:ascii="宋体" w:hAnsi="宋体" w:cs="宋体"/>
              </w:rPr>
              <w:t>）</w:t>
            </w:r>
          </w:p>
        </w:tc>
        <w:tc>
          <w:tcPr>
            <w:tcW w:w="1402" w:type="dxa"/>
            <w:tcBorders>
              <w:top w:val="single" w:color="auto" w:sz="12" w:space="0"/>
              <w:bottom w:val="single" w:color="auto" w:sz="6" w:space="0"/>
            </w:tcBorders>
            <w:noWrap w:val="0"/>
            <w:vAlign w:val="center"/>
          </w:tcPr>
          <w:p>
            <w:pPr>
              <w:jc w:val="center"/>
            </w:pPr>
            <w:r>
              <w:t>TSS</w:t>
            </w:r>
            <w:r>
              <w:rPr>
                <w:rFonts w:hint="eastAsia" w:ascii="宋体" w:hAnsi="宋体" w:cs="宋体"/>
              </w:rPr>
              <w:t>（</w:t>
            </w:r>
            <w:r>
              <w:t>%</w:t>
            </w:r>
            <w:r>
              <w:rPr>
                <w:rFonts w:hint="eastAsia" w:ascii="宋体" w:hAnsi="宋体" w:cs="宋体"/>
              </w:rPr>
              <w:t>）</w:t>
            </w:r>
          </w:p>
        </w:tc>
        <w:tc>
          <w:tcPr>
            <w:tcW w:w="1401" w:type="dxa"/>
            <w:tcBorders>
              <w:top w:val="single" w:color="auto" w:sz="12" w:space="0"/>
              <w:bottom w:val="single" w:color="auto" w:sz="6" w:space="0"/>
            </w:tcBorders>
            <w:noWrap w:val="0"/>
            <w:vAlign w:val="center"/>
          </w:tcPr>
          <w:p>
            <w:pPr>
              <w:jc w:val="center"/>
              <w:rPr>
                <w:rFonts w:hAnsi="宋体" w:eastAsia="Times New Roman"/>
                <w:sz w:val="15"/>
                <w:szCs w:val="15"/>
              </w:rPr>
            </w:pPr>
            <w:r>
              <w:rPr>
                <w:rFonts w:hAnsi="宋体" w:eastAsia="Times New Roman"/>
                <w:sz w:val="15"/>
                <w:szCs w:val="15"/>
              </w:rPr>
              <w:t>可溶性总糖含量</w:t>
            </w:r>
          </w:p>
          <w:p>
            <w:pPr>
              <w:jc w:val="center"/>
            </w:pPr>
            <w:r>
              <w:rPr>
                <w:rFonts w:hint="eastAsia" w:ascii="宋体" w:hAnsi="宋体" w:cs="宋体"/>
              </w:rPr>
              <w:t>（</w:t>
            </w:r>
            <w:r>
              <w:t>g/100g</w:t>
            </w:r>
            <w:r>
              <w:rPr>
                <w:rFonts w:hint="eastAsia" w:ascii="宋体" w:hAnsi="宋体" w:cs="宋体"/>
              </w:rPr>
              <w:t>）</w:t>
            </w:r>
          </w:p>
        </w:tc>
        <w:tc>
          <w:tcPr>
            <w:tcW w:w="1401" w:type="dxa"/>
            <w:tcBorders>
              <w:top w:val="single" w:color="auto" w:sz="12" w:space="0"/>
              <w:bottom w:val="single" w:color="auto" w:sz="6" w:space="0"/>
            </w:tcBorders>
            <w:noWrap w:val="0"/>
            <w:vAlign w:val="center"/>
          </w:tcPr>
          <w:p>
            <w:pPr>
              <w:jc w:val="center"/>
              <w:rPr>
                <w:rFonts w:hAnsi="宋体" w:eastAsia="Times New Roman"/>
                <w:sz w:val="18"/>
                <w:szCs w:val="18"/>
              </w:rPr>
            </w:pPr>
            <w:r>
              <w:rPr>
                <w:rFonts w:hAnsi="宋体" w:eastAsia="Times New Roman"/>
                <w:sz w:val="18"/>
                <w:szCs w:val="18"/>
              </w:rPr>
              <w:t>可滴定酸含量</w:t>
            </w:r>
          </w:p>
          <w:p>
            <w:pPr>
              <w:jc w:val="center"/>
            </w:pPr>
            <w:r>
              <w:rPr>
                <w:rFonts w:hAnsi="宋体" w:eastAsia="Times New Roman"/>
              </w:rPr>
              <w:t>（%）</w:t>
            </w:r>
          </w:p>
        </w:tc>
        <w:tc>
          <w:tcPr>
            <w:tcW w:w="1402" w:type="dxa"/>
            <w:tcBorders>
              <w:top w:val="single" w:color="auto" w:sz="12" w:space="0"/>
              <w:bottom w:val="single" w:color="auto" w:sz="6" w:space="0"/>
            </w:tcBorders>
            <w:noWrap w:val="0"/>
            <w:vAlign w:val="center"/>
          </w:tcPr>
          <w:p>
            <w:pPr>
              <w:jc w:val="center"/>
              <w:rPr>
                <w:rFonts w:hAnsi="宋体" w:eastAsia="Times New Roman"/>
              </w:rPr>
            </w:pPr>
            <w:r>
              <w:rPr>
                <w:rFonts w:hAnsi="宋体" w:eastAsia="Times New Roman"/>
              </w:rPr>
              <w:t>果肉硬度(kg/cm</w:t>
            </w:r>
            <w:r>
              <w:rPr>
                <w:rFonts w:hAnsi="宋体" w:eastAsia="Times New Roman"/>
                <w:vertAlign w:val="superscript"/>
              </w:rPr>
              <w:t>2</w:t>
            </w:r>
            <w:r>
              <w:rPr>
                <w:rFonts w:hAnsi="宋体" w:eastAsia="Times New Roman"/>
              </w:rPr>
              <w:t>)</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76" w:type="dxa"/>
            <w:tcBorders>
              <w:top w:val="single" w:color="auto" w:sz="6" w:space="0"/>
              <w:bottom w:val="nil"/>
            </w:tcBorders>
            <w:noWrap w:val="0"/>
            <w:vAlign w:val="center"/>
          </w:tcPr>
          <w:p>
            <w:pPr>
              <w:jc w:val="center"/>
            </w:pPr>
            <w:r>
              <w:rPr>
                <w:rFonts w:hAnsi="宋体" w:eastAsia="Times New Roman"/>
              </w:rPr>
              <w:t>松花粉</w:t>
            </w:r>
          </w:p>
        </w:tc>
        <w:tc>
          <w:tcPr>
            <w:tcW w:w="1401" w:type="dxa"/>
            <w:tcBorders>
              <w:top w:val="single" w:color="auto" w:sz="6" w:space="0"/>
              <w:bottom w:val="nil"/>
            </w:tcBorders>
            <w:noWrap w:val="0"/>
            <w:vAlign w:val="center"/>
          </w:tcPr>
          <w:p>
            <w:pPr>
              <w:jc w:val="center"/>
            </w:pPr>
            <w:r>
              <w:t>0.729±0.008a</w:t>
            </w:r>
          </w:p>
        </w:tc>
        <w:tc>
          <w:tcPr>
            <w:tcW w:w="1401" w:type="dxa"/>
            <w:tcBorders>
              <w:top w:val="single" w:color="auto" w:sz="6" w:space="0"/>
              <w:bottom w:val="nil"/>
            </w:tcBorders>
            <w:noWrap w:val="0"/>
            <w:vAlign w:val="center"/>
          </w:tcPr>
          <w:p>
            <w:pPr>
              <w:jc w:val="center"/>
            </w:pPr>
            <w:r>
              <w:t>0.043±0.001a</w:t>
            </w:r>
          </w:p>
        </w:tc>
        <w:tc>
          <w:tcPr>
            <w:tcW w:w="1402" w:type="dxa"/>
            <w:tcBorders>
              <w:top w:val="single" w:color="auto" w:sz="6" w:space="0"/>
              <w:bottom w:val="nil"/>
            </w:tcBorders>
            <w:noWrap w:val="0"/>
            <w:vAlign w:val="center"/>
          </w:tcPr>
          <w:p>
            <w:pPr>
              <w:jc w:val="center"/>
            </w:pPr>
            <w:r>
              <w:t>13.0±0.1a</w:t>
            </w:r>
          </w:p>
        </w:tc>
        <w:tc>
          <w:tcPr>
            <w:tcW w:w="1401" w:type="dxa"/>
            <w:tcBorders>
              <w:top w:val="single" w:color="auto" w:sz="6" w:space="0"/>
              <w:bottom w:val="nil"/>
            </w:tcBorders>
            <w:noWrap w:val="0"/>
            <w:vAlign w:val="center"/>
          </w:tcPr>
          <w:p>
            <w:pPr>
              <w:jc w:val="center"/>
            </w:pPr>
            <w:r>
              <w:t>10.01±0.04a</w:t>
            </w:r>
          </w:p>
        </w:tc>
        <w:tc>
          <w:tcPr>
            <w:tcW w:w="1401" w:type="dxa"/>
            <w:tcBorders>
              <w:top w:val="single" w:color="auto" w:sz="6" w:space="0"/>
              <w:bottom w:val="nil"/>
            </w:tcBorders>
            <w:noWrap w:val="0"/>
            <w:vAlign w:val="center"/>
          </w:tcPr>
          <w:p>
            <w:pPr>
              <w:jc w:val="center"/>
            </w:pPr>
            <w:r>
              <w:t>0.175±0.002a</w:t>
            </w:r>
          </w:p>
        </w:tc>
        <w:tc>
          <w:tcPr>
            <w:tcW w:w="1402" w:type="dxa"/>
            <w:tcBorders>
              <w:top w:val="single" w:color="auto" w:sz="6" w:space="0"/>
              <w:bottom w:val="nil"/>
            </w:tcBorders>
            <w:noWrap w:val="0"/>
            <w:vAlign w:val="center"/>
          </w:tcPr>
          <w:p>
            <w:pPr>
              <w:jc w:val="center"/>
            </w:pPr>
            <w:r>
              <w:t>5.22±0.03ab</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76" w:type="dxa"/>
            <w:tcBorders>
              <w:top w:val="nil"/>
              <w:bottom w:val="nil"/>
            </w:tcBorders>
            <w:noWrap w:val="0"/>
            <w:vAlign w:val="center"/>
          </w:tcPr>
          <w:p>
            <w:pPr>
              <w:jc w:val="center"/>
            </w:pPr>
            <w:r>
              <w:rPr>
                <w:rFonts w:hAnsi="宋体" w:eastAsia="Times New Roman"/>
              </w:rPr>
              <w:t>石松子花粉</w:t>
            </w:r>
          </w:p>
        </w:tc>
        <w:tc>
          <w:tcPr>
            <w:tcW w:w="1401" w:type="dxa"/>
            <w:tcBorders>
              <w:top w:val="nil"/>
              <w:bottom w:val="nil"/>
            </w:tcBorders>
            <w:noWrap w:val="0"/>
            <w:vAlign w:val="center"/>
          </w:tcPr>
          <w:p>
            <w:pPr>
              <w:jc w:val="center"/>
            </w:pPr>
            <w:r>
              <w:t>0.743±0.011a</w:t>
            </w:r>
          </w:p>
        </w:tc>
        <w:tc>
          <w:tcPr>
            <w:tcW w:w="1401" w:type="dxa"/>
            <w:tcBorders>
              <w:top w:val="nil"/>
              <w:bottom w:val="nil"/>
            </w:tcBorders>
            <w:noWrap w:val="0"/>
            <w:vAlign w:val="center"/>
          </w:tcPr>
          <w:p>
            <w:pPr>
              <w:jc w:val="center"/>
            </w:pPr>
            <w:r>
              <w:t>0.041±0.001a</w:t>
            </w:r>
          </w:p>
        </w:tc>
        <w:tc>
          <w:tcPr>
            <w:tcW w:w="1402" w:type="dxa"/>
            <w:tcBorders>
              <w:top w:val="nil"/>
              <w:bottom w:val="nil"/>
            </w:tcBorders>
            <w:noWrap w:val="0"/>
            <w:vAlign w:val="center"/>
          </w:tcPr>
          <w:p>
            <w:pPr>
              <w:jc w:val="center"/>
            </w:pPr>
            <w:r>
              <w:t>13.0±0.1a</w:t>
            </w:r>
          </w:p>
        </w:tc>
        <w:tc>
          <w:tcPr>
            <w:tcW w:w="1401" w:type="dxa"/>
            <w:tcBorders>
              <w:top w:val="nil"/>
              <w:bottom w:val="nil"/>
            </w:tcBorders>
            <w:noWrap w:val="0"/>
            <w:vAlign w:val="center"/>
          </w:tcPr>
          <w:p>
            <w:pPr>
              <w:jc w:val="center"/>
            </w:pPr>
            <w:r>
              <w:t>10.03±0.04a</w:t>
            </w:r>
          </w:p>
        </w:tc>
        <w:tc>
          <w:tcPr>
            <w:tcW w:w="1401" w:type="dxa"/>
            <w:tcBorders>
              <w:top w:val="nil"/>
              <w:bottom w:val="nil"/>
            </w:tcBorders>
            <w:noWrap w:val="0"/>
            <w:vAlign w:val="center"/>
          </w:tcPr>
          <w:p>
            <w:pPr>
              <w:jc w:val="center"/>
            </w:pPr>
            <w:r>
              <w:t>0.176±0.001a</w:t>
            </w:r>
          </w:p>
        </w:tc>
        <w:tc>
          <w:tcPr>
            <w:tcW w:w="1402" w:type="dxa"/>
            <w:tcBorders>
              <w:top w:val="nil"/>
              <w:bottom w:val="nil"/>
            </w:tcBorders>
            <w:noWrap w:val="0"/>
            <w:vAlign w:val="center"/>
          </w:tcPr>
          <w:p>
            <w:pPr>
              <w:jc w:val="center"/>
            </w:pPr>
            <w:r>
              <w:t>5.21±0.02a</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c>
          <w:tcPr>
            <w:tcW w:w="1276" w:type="dxa"/>
            <w:tcBorders>
              <w:top w:val="nil"/>
              <w:bottom w:val="single" w:color="auto" w:sz="12" w:space="0"/>
            </w:tcBorders>
            <w:noWrap w:val="0"/>
            <w:vAlign w:val="center"/>
          </w:tcPr>
          <w:p>
            <w:pPr>
              <w:jc w:val="center"/>
            </w:pPr>
            <w:r>
              <w:rPr>
                <w:rFonts w:hAnsi="宋体" w:eastAsia="Times New Roman"/>
              </w:rPr>
              <w:t>玉米淀粉</w:t>
            </w:r>
          </w:p>
        </w:tc>
        <w:tc>
          <w:tcPr>
            <w:tcW w:w="1401" w:type="dxa"/>
            <w:tcBorders>
              <w:top w:val="nil"/>
              <w:bottom w:val="single" w:color="auto" w:sz="12" w:space="0"/>
            </w:tcBorders>
            <w:noWrap w:val="0"/>
            <w:vAlign w:val="center"/>
          </w:tcPr>
          <w:p>
            <w:pPr>
              <w:jc w:val="center"/>
            </w:pPr>
            <w:r>
              <w:t>0.713±0.013a</w:t>
            </w:r>
          </w:p>
        </w:tc>
        <w:tc>
          <w:tcPr>
            <w:tcW w:w="1401" w:type="dxa"/>
            <w:tcBorders>
              <w:top w:val="nil"/>
              <w:bottom w:val="single" w:color="auto" w:sz="12" w:space="0"/>
            </w:tcBorders>
            <w:noWrap w:val="0"/>
            <w:vAlign w:val="center"/>
          </w:tcPr>
          <w:p>
            <w:pPr>
              <w:jc w:val="center"/>
            </w:pPr>
            <w:r>
              <w:t>0.041±0.001a</w:t>
            </w:r>
          </w:p>
        </w:tc>
        <w:tc>
          <w:tcPr>
            <w:tcW w:w="1402" w:type="dxa"/>
            <w:tcBorders>
              <w:top w:val="nil"/>
              <w:bottom w:val="single" w:color="auto" w:sz="12" w:space="0"/>
            </w:tcBorders>
            <w:noWrap w:val="0"/>
            <w:vAlign w:val="center"/>
          </w:tcPr>
          <w:p>
            <w:pPr>
              <w:jc w:val="center"/>
            </w:pPr>
            <w:r>
              <w:t>12.9±0.0a</w:t>
            </w:r>
          </w:p>
        </w:tc>
        <w:tc>
          <w:tcPr>
            <w:tcW w:w="1401" w:type="dxa"/>
            <w:tcBorders>
              <w:top w:val="nil"/>
              <w:bottom w:val="single" w:color="auto" w:sz="12" w:space="0"/>
            </w:tcBorders>
            <w:noWrap w:val="0"/>
            <w:vAlign w:val="center"/>
          </w:tcPr>
          <w:p>
            <w:pPr>
              <w:jc w:val="center"/>
            </w:pPr>
            <w:r>
              <w:t>9.98±0.04a</w:t>
            </w:r>
          </w:p>
        </w:tc>
        <w:tc>
          <w:tcPr>
            <w:tcW w:w="1401" w:type="dxa"/>
            <w:tcBorders>
              <w:top w:val="nil"/>
              <w:bottom w:val="single" w:color="auto" w:sz="12" w:space="0"/>
            </w:tcBorders>
            <w:noWrap w:val="0"/>
            <w:vAlign w:val="center"/>
          </w:tcPr>
          <w:p>
            <w:pPr>
              <w:jc w:val="center"/>
            </w:pPr>
            <w:r>
              <w:t>0.176±0.002a</w:t>
            </w:r>
          </w:p>
        </w:tc>
        <w:tc>
          <w:tcPr>
            <w:tcW w:w="1402" w:type="dxa"/>
            <w:tcBorders>
              <w:top w:val="nil"/>
              <w:bottom w:val="single" w:color="auto" w:sz="12" w:space="0"/>
            </w:tcBorders>
            <w:noWrap w:val="0"/>
            <w:vAlign w:val="center"/>
          </w:tcPr>
          <w:p>
            <w:pPr>
              <w:jc w:val="center"/>
            </w:pPr>
            <w:r>
              <w:t>5.23±0.03b</w:t>
            </w:r>
          </w:p>
        </w:tc>
      </w:tr>
    </w:tbl>
    <w:p>
      <w:pPr>
        <w:spacing w:line="400" w:lineRule="exact"/>
        <w:ind w:firstLine="480" w:firstLineChars="200"/>
        <w:rPr>
          <w:rFonts w:ascii="仿宋_GB2312" w:hAnsi="宋体" w:eastAsia="仿宋_GB2312"/>
          <w:sz w:val="24"/>
        </w:rPr>
      </w:pPr>
      <w:r>
        <w:rPr>
          <w:rFonts w:hint="eastAsia" w:ascii="仿宋_GB2312" w:hAnsi="宋体" w:eastAsia="仿宋_GB2312"/>
          <w:sz w:val="24"/>
        </w:rPr>
        <w:t>通过不同辅料果实品质效应分析，松花粉和石松子花粉作为填充剂，提高了红富士苹果单位面积产量和果型指数。</w:t>
      </w:r>
    </w:p>
    <w:p>
      <w:pPr>
        <w:spacing w:line="400" w:lineRule="exact"/>
        <w:ind w:firstLine="480" w:firstLineChars="200"/>
        <w:rPr>
          <w:rFonts w:ascii="仿宋_GB2312" w:hAnsi="宋体" w:eastAsia="仿宋_GB2312"/>
          <w:sz w:val="24"/>
        </w:rPr>
      </w:pPr>
      <w:r>
        <w:rPr>
          <w:rFonts w:hint="default" w:ascii="Calibri" w:hAnsi="Calibri" w:eastAsia="仿宋_GB2312" w:cs="Calibri"/>
          <w:sz w:val="24"/>
        </w:rPr>
        <w:t>②</w:t>
      </w:r>
      <w:r>
        <w:rPr>
          <w:rFonts w:hint="eastAsia" w:ascii="仿宋_GB2312" w:hAnsi="宋体" w:eastAsia="仿宋_GB2312"/>
          <w:sz w:val="24"/>
        </w:rPr>
        <w:t>验证方法</w:t>
      </w:r>
    </w:p>
    <w:p>
      <w:pPr>
        <w:spacing w:line="360" w:lineRule="auto"/>
        <w:ind w:firstLine="480" w:firstLineChars="200"/>
        <w:jc w:val="left"/>
        <w:rPr>
          <w:rFonts w:hint="eastAsia" w:ascii="仿宋_GB2312" w:hAnsi="宋体" w:eastAsia="仿宋_GB2312"/>
          <w:sz w:val="24"/>
        </w:rPr>
      </w:pPr>
      <w:r>
        <w:rPr>
          <w:rFonts w:hint="eastAsia" w:ascii="仿宋_GB2312" w:hAnsi="宋体" w:eastAsia="仿宋_GB2312"/>
          <w:sz w:val="24"/>
        </w:rPr>
        <w:t>标准修订科研团队在临猗县、蒲县、太原市阳曲县等地进行苹果人工授粉技术示范，通过调查不同授粉辅料处理的果实品质测定结果进行验证。</w:t>
      </w:r>
    </w:p>
    <w:p>
      <w:pPr>
        <w:spacing w:line="360" w:lineRule="auto"/>
        <w:ind w:firstLine="480" w:firstLineChars="200"/>
        <w:outlineLvl w:val="0"/>
        <w:rPr>
          <w:rFonts w:ascii="黑体" w:eastAsia="黑体"/>
          <w:sz w:val="24"/>
        </w:rPr>
      </w:pPr>
      <w:r>
        <w:rPr>
          <w:rFonts w:hint="eastAsia" w:ascii="黑体" w:eastAsia="黑体"/>
          <w:sz w:val="24"/>
        </w:rPr>
        <w:t>六、重大意见分歧的处理依据和结果</w:t>
      </w:r>
    </w:p>
    <w:p>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本标准无重大意见分歧。</w:t>
      </w:r>
    </w:p>
    <w:p>
      <w:pPr>
        <w:spacing w:line="360" w:lineRule="auto"/>
        <w:ind w:firstLine="480" w:firstLineChars="200"/>
        <w:outlineLvl w:val="0"/>
        <w:rPr>
          <w:rFonts w:ascii="黑体" w:eastAsia="黑体"/>
          <w:sz w:val="24"/>
        </w:rPr>
      </w:pPr>
      <w:r>
        <w:rPr>
          <w:rFonts w:hint="eastAsia" w:ascii="黑体" w:eastAsia="黑体"/>
          <w:sz w:val="24"/>
        </w:rPr>
        <w:t>七、采标情况，是否合规引用或采用国际标准和国外先进标准，以及与国内外同类标准水平的对比情况</w:t>
      </w:r>
    </w:p>
    <w:p>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本标准没有采用国际标准和国外标准。</w:t>
      </w:r>
    </w:p>
    <w:p>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本标准严格遵循国家标准、行业标准在苹果建园方面的相关规定。与现行的国标、行标相比较，本标准以山西省高海拔生产条件下苹果高光效果建设紧密相关的产地环境为基础，进一步细化了高光效果园建设相关的品种配置、果园定植、树形模式、花果调控等内容，形成了具有山西特色的苹果高光效果园优质高效生产技术，为我省特色苹果产业发展提供了技术支撑。</w:t>
      </w:r>
    </w:p>
    <w:p>
      <w:pPr>
        <w:spacing w:line="360" w:lineRule="auto"/>
        <w:ind w:firstLine="480" w:firstLineChars="200"/>
        <w:outlineLvl w:val="0"/>
        <w:rPr>
          <w:rFonts w:ascii="黑体" w:eastAsia="黑体"/>
          <w:sz w:val="24"/>
        </w:rPr>
      </w:pPr>
      <w:r>
        <w:rPr>
          <w:rFonts w:hint="eastAsia" w:ascii="黑体" w:eastAsia="黑体"/>
          <w:sz w:val="24"/>
        </w:rPr>
        <w:t>八、作为推荐性标准的建议及其理由</w:t>
      </w:r>
    </w:p>
    <w:p>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山西省苹果栽培规模大，苹果产业已经成为不少地方的农业主导产业。已往苹果果园建设主要参考国标、团标及外省地标，因地域差异导致果园建设过程中定植成活率不高、砧木接穗配置不合理、树形模式不适宜等问题出现。本标准的制定和修订以我省产地环境和砧木品种为牵头，填补了我省苹果高光效果园建设领域的空白，应用前景非常广阔。建议本标准为推荐性标准。</w:t>
      </w:r>
    </w:p>
    <w:p>
      <w:pPr>
        <w:spacing w:line="360" w:lineRule="auto"/>
        <w:ind w:firstLine="480" w:firstLineChars="200"/>
        <w:outlineLvl w:val="0"/>
        <w:rPr>
          <w:rFonts w:ascii="黑体" w:eastAsia="黑体"/>
          <w:sz w:val="24"/>
        </w:rPr>
      </w:pPr>
      <w:r>
        <w:rPr>
          <w:rFonts w:hint="eastAsia" w:ascii="黑体" w:eastAsia="黑体"/>
          <w:sz w:val="24"/>
        </w:rPr>
        <w:t>九、实施标准的措施建议</w:t>
      </w:r>
    </w:p>
    <w:p>
      <w:pPr>
        <w:spacing w:line="360" w:lineRule="auto"/>
        <w:ind w:firstLine="480" w:firstLineChars="200"/>
        <w:jc w:val="left"/>
        <w:rPr>
          <w:rFonts w:hint="eastAsia" w:ascii="仿宋_GB2312" w:hAnsi="宋体" w:eastAsia="仿宋_GB2312"/>
          <w:sz w:val="24"/>
        </w:rPr>
      </w:pPr>
      <w:r>
        <w:rPr>
          <w:rFonts w:hint="eastAsia" w:ascii="仿宋_GB2312" w:hAnsi="宋体" w:eastAsia="仿宋_GB2312"/>
          <w:sz w:val="24"/>
        </w:rPr>
        <w:t>本修订组科研团队长期从事山西省果树优质高效生产关键技术创新研发及标准化示范及规模化推广工作。2001年以来，先后承担国家科技支撑计划项目、国家重点研发项目、国家科技成果转化项目、山西省重点研发与示范推广项目、山西省水果产业体系建设等项目，项目延续性强、经费充足，可以为标准项目的实施保障资金的具体金额。</w:t>
      </w:r>
    </w:p>
    <w:p>
      <w:pPr>
        <w:spacing w:line="360" w:lineRule="auto"/>
        <w:ind w:firstLine="480" w:firstLineChars="200"/>
        <w:jc w:val="left"/>
        <w:rPr>
          <w:rFonts w:hint="eastAsia" w:ascii="仿宋_GB2312" w:hAnsi="宋体" w:eastAsia="仿宋_GB2312"/>
          <w:sz w:val="24"/>
        </w:rPr>
      </w:pPr>
      <w:r>
        <w:rPr>
          <w:rFonts w:hint="eastAsia" w:ascii="仿宋_GB2312" w:hAnsi="宋体" w:eastAsia="仿宋_GB2312"/>
          <w:sz w:val="24"/>
        </w:rPr>
        <w:t>项目实施期间，科研团队长期与苹果主产区地方人民政府、涉农企业、骨干合作社合作。在临猗县、万荣县、平陆县、芮城县、运城市盐湖区、吉县、翼城县、平遥县、阳曲县、阳泉市郊区等地建成大面积的苹果新品种新树形示范基地，为进一步标准实施与宣传推广奠定了基础。</w:t>
      </w:r>
    </w:p>
    <w:p>
      <w:pPr>
        <w:spacing w:line="360" w:lineRule="auto"/>
        <w:ind w:firstLine="480" w:firstLineChars="200"/>
        <w:jc w:val="left"/>
        <w:rPr>
          <w:rFonts w:hint="eastAsia" w:ascii="仿宋_GB2312" w:hAnsi="宋体" w:eastAsia="仿宋_GB2312"/>
          <w:sz w:val="24"/>
        </w:rPr>
      </w:pPr>
      <w:r>
        <w:rPr>
          <w:rFonts w:hint="eastAsia" w:ascii="仿宋_GB2312" w:hAnsi="宋体" w:eastAsia="仿宋_GB2312"/>
          <w:sz w:val="24"/>
        </w:rPr>
        <w:t>标准发布后将利用山西省现代产业技术体系、山西省农业技术推广产业引领工程、山西省特优农业高质量发展科技支撑工程等项目平台，在全省范围内适宜推广区域进行大面积的宣传推广，确保标准能用到苹果生产第一线。</w:t>
      </w:r>
    </w:p>
    <w:p>
      <w:pPr>
        <w:spacing w:line="360" w:lineRule="auto"/>
        <w:ind w:firstLine="480" w:firstLineChars="200"/>
        <w:jc w:val="left"/>
        <w:rPr>
          <w:rFonts w:ascii="仿宋_GB2312" w:hAnsi="宋体" w:eastAsia="仿宋_GB2312"/>
          <w:sz w:val="24"/>
        </w:rPr>
      </w:pPr>
      <w:r>
        <w:rPr>
          <w:rFonts w:ascii="仿宋_GB2312" w:hAnsi="宋体" w:eastAsia="仿宋_GB2312"/>
          <w:sz w:val="24"/>
        </w:rPr>
        <w:t>1</w:t>
      </w:r>
      <w:r>
        <w:rPr>
          <w:rFonts w:hint="eastAsia" w:ascii="仿宋_GB2312" w:hAnsi="宋体" w:eastAsia="仿宋_GB2312"/>
          <w:sz w:val="24"/>
        </w:rPr>
        <w:t>、建设示范基地较快标准化示范</w:t>
      </w:r>
    </w:p>
    <w:p>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利用现有的合作基础，在山西省苹果主产区10个县市建设10个高光效树形示范果园，以此为平台进行标准化技术示范，以点带面，辐射推广。</w:t>
      </w:r>
    </w:p>
    <w:p>
      <w:pPr>
        <w:spacing w:line="360" w:lineRule="auto"/>
        <w:ind w:firstLine="480" w:firstLineChars="200"/>
        <w:jc w:val="left"/>
        <w:rPr>
          <w:rFonts w:ascii="仿宋_GB2312" w:hAnsi="宋体" w:eastAsia="仿宋_GB2312"/>
          <w:sz w:val="24"/>
        </w:rPr>
      </w:pPr>
      <w:r>
        <w:rPr>
          <w:rFonts w:ascii="仿宋_GB2312" w:hAnsi="宋体" w:eastAsia="仿宋_GB2312"/>
          <w:sz w:val="24"/>
        </w:rPr>
        <w:t>2</w:t>
      </w:r>
      <w:r>
        <w:rPr>
          <w:rFonts w:hint="eastAsia" w:ascii="仿宋_GB2312" w:hAnsi="宋体" w:eastAsia="仿宋_GB2312"/>
          <w:sz w:val="24"/>
        </w:rPr>
        <w:t>、用“线上＋线下”媒体广泛宣传</w:t>
      </w:r>
    </w:p>
    <w:p>
      <w:pPr>
        <w:spacing w:line="360" w:lineRule="auto"/>
        <w:ind w:firstLine="600" w:firstLineChars="250"/>
        <w:jc w:val="left"/>
        <w:rPr>
          <w:rFonts w:ascii="仿宋_GB2312" w:hAnsi="宋体" w:eastAsia="仿宋_GB2312"/>
          <w:sz w:val="24"/>
        </w:rPr>
      </w:pPr>
      <w:r>
        <w:rPr>
          <w:rFonts w:hint="eastAsia" w:ascii="仿宋_GB2312" w:hAnsi="宋体" w:eastAsia="仿宋_GB2312"/>
          <w:sz w:val="24"/>
        </w:rPr>
        <w:t>利用电视、广播、报刊、网络、微信公众号等“线上线下”媒体进行专题介绍和宣传。同时借助省市县媒体“专题采访”“广播连续”“新闻对话”’等栏目，进一步扩大标准化技术的辐射推广。</w:t>
      </w:r>
    </w:p>
    <w:p>
      <w:pPr>
        <w:spacing w:line="360" w:lineRule="auto"/>
        <w:ind w:firstLine="480" w:firstLineChars="200"/>
        <w:jc w:val="left"/>
        <w:rPr>
          <w:rFonts w:ascii="仿宋_GB2312" w:hAnsi="宋体" w:eastAsia="仿宋_GB2312"/>
          <w:sz w:val="24"/>
        </w:rPr>
      </w:pPr>
      <w:r>
        <w:rPr>
          <w:rFonts w:ascii="仿宋_GB2312" w:hAnsi="宋体" w:eastAsia="仿宋_GB2312"/>
          <w:sz w:val="24"/>
        </w:rPr>
        <w:t xml:space="preserve"> 3</w:t>
      </w:r>
      <w:r>
        <w:rPr>
          <w:rFonts w:hint="eastAsia" w:ascii="仿宋_GB2312" w:hAnsi="宋体" w:eastAsia="仿宋_GB2312"/>
          <w:sz w:val="24"/>
        </w:rPr>
        <w:t>、深入生产一线推广标准化技术</w:t>
      </w:r>
    </w:p>
    <w:p>
      <w:pPr>
        <w:spacing w:line="360" w:lineRule="auto"/>
        <w:ind w:firstLine="480" w:firstLineChars="200"/>
        <w:jc w:val="left"/>
        <w:rPr>
          <w:rFonts w:ascii="仿宋_GB2312" w:hAnsi="宋体" w:eastAsia="仿宋_GB2312"/>
          <w:sz w:val="24"/>
        </w:rPr>
      </w:pPr>
      <w:r>
        <w:rPr>
          <w:rFonts w:hint="eastAsia" w:ascii="仿宋_GB2312" w:hAnsi="宋体" w:eastAsia="仿宋_GB2312"/>
          <w:sz w:val="24"/>
        </w:rPr>
        <w:t>科研团队成员依托各类项目支撑，深入田间地头示范推广苹果高光效果园标准化技术。通过现场观摩会、修剪大赛、集中培训、远程教育、专家连线等方式推广标准化技术，提高一线农技人员及果农应用标准技能。</w:t>
      </w:r>
      <w:bookmarkStart w:id="0" w:name="_GoBack"/>
      <w:bookmarkEnd w:id="0"/>
    </w:p>
    <w:p>
      <w:pPr>
        <w:spacing w:line="360" w:lineRule="auto"/>
        <w:jc w:val="left"/>
        <w:rPr>
          <w:rFonts w:ascii="??_GB2312" w:hAnsi="宋体" w:eastAsia="Times New Roman"/>
          <w:sz w:val="24"/>
          <w:szCs w:val="24"/>
        </w:rPr>
      </w:pPr>
    </w:p>
    <w:p>
      <w:pPr>
        <w:spacing w:line="360" w:lineRule="auto"/>
        <w:ind w:firstLine="480" w:firstLineChars="200"/>
        <w:jc w:val="left"/>
        <w:rPr>
          <w:rFonts w:ascii="??_GB2312" w:hAnsi="宋体" w:eastAsia="Times New Roman"/>
          <w:sz w:val="24"/>
          <w:szCs w:val="24"/>
        </w:rPr>
      </w:pPr>
    </w:p>
    <w:p>
      <w:pPr>
        <w:spacing w:line="360" w:lineRule="auto"/>
        <w:ind w:firstLine="480" w:firstLineChars="200"/>
        <w:jc w:val="left"/>
        <w:rPr>
          <w:rFonts w:ascii="??_GB2312" w:hAnsi="宋体" w:eastAsia="Times New Roman"/>
          <w:sz w:val="24"/>
          <w:szCs w:val="24"/>
        </w:rPr>
      </w:pPr>
    </w:p>
    <w:p>
      <w:pPr>
        <w:spacing w:line="360" w:lineRule="auto"/>
        <w:ind w:firstLine="480" w:firstLineChars="200"/>
        <w:jc w:val="left"/>
        <w:rPr>
          <w:rFonts w:ascii="??_GB2312" w:hAnsi="宋体" w:eastAsia="Times New Roman"/>
          <w:sz w:val="24"/>
          <w:szCs w:val="24"/>
        </w:rPr>
      </w:pPr>
    </w:p>
    <w:p>
      <w:pPr>
        <w:snapToGrid w:val="0"/>
        <w:spacing w:line="360" w:lineRule="auto"/>
        <w:rPr>
          <w:rFonts w:ascii="宋体"/>
          <w:sz w:val="44"/>
          <w:szCs w:val="44"/>
        </w:rPr>
        <w:sectPr>
          <w:footerReference r:id="rId3" w:type="default"/>
          <w:pgSz w:w="11906" w:h="16838"/>
          <w:pgMar w:top="1440" w:right="1800" w:bottom="1440" w:left="1800" w:header="851" w:footer="992" w:gutter="0"/>
          <w:pgNumType w:start="1"/>
          <w:cols w:space="425" w:num="1"/>
          <w:titlePg/>
          <w:docGrid w:type="lines" w:linePitch="312" w:charSpace="0"/>
        </w:sectPr>
      </w:pPr>
    </w:p>
    <w:p>
      <w:pPr>
        <w:ind w:firstLine="643" w:firstLineChars="200"/>
        <w:jc w:val="center"/>
        <w:rPr>
          <w:b/>
          <w:bCs/>
          <w:sz w:val="32"/>
          <w:szCs w:val="32"/>
        </w:rPr>
      </w:pPr>
      <w:r>
        <w:rPr>
          <w:rFonts w:hint="eastAsia" w:cs="宋体"/>
          <w:b/>
          <w:bCs/>
          <w:sz w:val="32"/>
          <w:szCs w:val="32"/>
        </w:rPr>
        <w:t>山西省地方标准《高光效苹果园建设技术规程》修订征求意见情况汇总表</w:t>
      </w:r>
    </w:p>
    <w:p>
      <w:pPr>
        <w:keepNext w:val="0"/>
        <w:keepLines w:val="0"/>
        <w:pageBreakBefore w:val="0"/>
        <w:widowControl w:val="0"/>
        <w:kinsoku/>
        <w:wordWrap/>
        <w:overflowPunct/>
        <w:topLinePunct w:val="0"/>
        <w:autoSpaceDE/>
        <w:autoSpaceDN/>
        <w:bidi w:val="0"/>
        <w:adjustRightInd/>
        <w:snapToGrid w:val="0"/>
        <w:spacing w:line="320" w:lineRule="exact"/>
        <w:textAlignment w:val="auto"/>
        <w:rPr>
          <w:sz w:val="21"/>
          <w:szCs w:val="21"/>
        </w:rPr>
      </w:pPr>
      <w:r>
        <w:rPr>
          <w:rFonts w:hint="eastAsia" w:cs="宋体"/>
          <w:sz w:val="21"/>
          <w:szCs w:val="21"/>
        </w:rPr>
        <w:t>起草单位：山西农业大学园艺学院</w:t>
      </w:r>
      <w:r>
        <w:rPr>
          <w:sz w:val="21"/>
          <w:szCs w:val="21"/>
        </w:rPr>
        <w:t xml:space="preserve">                                                     </w:t>
      </w:r>
      <w:r>
        <w:rPr>
          <w:rFonts w:hint="eastAsia"/>
          <w:sz w:val="21"/>
          <w:szCs w:val="21"/>
          <w:lang w:val="en-US" w:eastAsia="zh-CN"/>
        </w:rPr>
        <w:t xml:space="preserve">          </w:t>
      </w:r>
      <w:r>
        <w:rPr>
          <w:rFonts w:hint="eastAsia" w:cs="宋体"/>
          <w:sz w:val="21"/>
          <w:szCs w:val="21"/>
        </w:rPr>
        <w:t>承办人：</w:t>
      </w:r>
      <w:r>
        <w:rPr>
          <w:sz w:val="21"/>
          <w:szCs w:val="21"/>
        </w:rPr>
        <w:t xml:space="preserve"> </w:t>
      </w:r>
      <w:r>
        <w:rPr>
          <w:rFonts w:hint="eastAsia" w:cs="宋体"/>
          <w:sz w:val="21"/>
          <w:szCs w:val="21"/>
        </w:rPr>
        <w:t>蔚露</w:t>
      </w:r>
    </w:p>
    <w:p>
      <w:pPr>
        <w:keepNext w:val="0"/>
        <w:keepLines w:val="0"/>
        <w:pageBreakBefore w:val="0"/>
        <w:widowControl w:val="0"/>
        <w:kinsoku/>
        <w:wordWrap/>
        <w:overflowPunct/>
        <w:topLinePunct w:val="0"/>
        <w:autoSpaceDE/>
        <w:autoSpaceDN/>
        <w:bidi w:val="0"/>
        <w:adjustRightInd/>
        <w:snapToGrid w:val="0"/>
        <w:spacing w:line="320" w:lineRule="exact"/>
        <w:textAlignment w:val="auto"/>
        <w:rPr>
          <w:sz w:val="21"/>
          <w:szCs w:val="21"/>
        </w:rPr>
      </w:pPr>
      <w:r>
        <w:rPr>
          <w:rFonts w:hint="eastAsia" w:cs="宋体"/>
          <w:sz w:val="21"/>
          <w:szCs w:val="21"/>
        </w:rPr>
        <w:t>联系电话：</w:t>
      </w:r>
      <w:r>
        <w:rPr>
          <w:sz w:val="21"/>
          <w:szCs w:val="21"/>
        </w:rPr>
        <w:t xml:space="preserve">15235163519                                                  </w:t>
      </w:r>
      <w:r>
        <w:rPr>
          <w:rFonts w:hint="eastAsia"/>
          <w:sz w:val="21"/>
          <w:szCs w:val="21"/>
          <w:lang w:val="en-US" w:eastAsia="zh-CN"/>
        </w:rPr>
        <w:t xml:space="preserve">                      </w:t>
      </w:r>
      <w:r>
        <w:rPr>
          <w:rFonts w:hint="eastAsia" w:cs="宋体"/>
          <w:sz w:val="21"/>
          <w:szCs w:val="21"/>
        </w:rPr>
        <w:t>填写时间：</w:t>
      </w:r>
      <w:r>
        <w:rPr>
          <w:sz w:val="21"/>
          <w:szCs w:val="21"/>
        </w:rPr>
        <w:t xml:space="preserve">2024 </w:t>
      </w:r>
      <w:r>
        <w:rPr>
          <w:rFonts w:hint="eastAsia" w:cs="宋体"/>
          <w:sz w:val="21"/>
          <w:szCs w:val="21"/>
        </w:rPr>
        <w:t>年</w:t>
      </w:r>
      <w:r>
        <w:rPr>
          <w:sz w:val="21"/>
          <w:szCs w:val="21"/>
        </w:rPr>
        <w:t>1</w:t>
      </w:r>
      <w:r>
        <w:rPr>
          <w:rFonts w:hint="eastAsia" w:cs="宋体"/>
          <w:sz w:val="21"/>
          <w:szCs w:val="21"/>
        </w:rPr>
        <w:t>月</w:t>
      </w:r>
      <w:r>
        <w:rPr>
          <w:sz w:val="21"/>
          <w:szCs w:val="21"/>
        </w:rPr>
        <w:t>14</w:t>
      </w:r>
      <w:r>
        <w:rPr>
          <w:rFonts w:hint="eastAsia" w:cs="宋体"/>
          <w:sz w:val="21"/>
          <w:szCs w:val="21"/>
        </w:rPr>
        <w:t>日</w:t>
      </w:r>
      <w:r>
        <w:rPr>
          <w:sz w:val="21"/>
          <w:szCs w:val="21"/>
        </w:rPr>
        <w:t xml:space="preserve"> </w:t>
      </w:r>
    </w:p>
    <w:p>
      <w:pPr>
        <w:keepNext w:val="0"/>
        <w:keepLines w:val="0"/>
        <w:pageBreakBefore w:val="0"/>
        <w:widowControl w:val="0"/>
        <w:kinsoku/>
        <w:wordWrap/>
        <w:overflowPunct/>
        <w:topLinePunct w:val="0"/>
        <w:autoSpaceDE/>
        <w:autoSpaceDN/>
        <w:bidi w:val="0"/>
        <w:adjustRightInd/>
        <w:snapToGrid w:val="0"/>
        <w:spacing w:line="320" w:lineRule="exact"/>
        <w:textAlignment w:val="auto"/>
        <w:rPr>
          <w:sz w:val="21"/>
          <w:szCs w:val="21"/>
        </w:rPr>
      </w:pPr>
      <w:r>
        <w:rPr>
          <w:rFonts w:hint="eastAsia" w:cs="宋体"/>
          <w:sz w:val="21"/>
          <w:szCs w:val="21"/>
        </w:rPr>
        <w:t>发送“征求意见稿”单位数：</w:t>
      </w:r>
      <w:r>
        <w:rPr>
          <w:rFonts w:hint="eastAsia"/>
          <w:sz w:val="21"/>
          <w:szCs w:val="21"/>
          <w:lang w:val="en-US" w:eastAsia="zh-CN"/>
        </w:rPr>
        <w:t>5</w:t>
      </w:r>
      <w:r>
        <w:rPr>
          <w:rFonts w:hint="eastAsia" w:cs="宋体"/>
          <w:sz w:val="21"/>
          <w:szCs w:val="21"/>
        </w:rPr>
        <w:t>个；</w:t>
      </w:r>
      <w:r>
        <w:rPr>
          <w:sz w:val="21"/>
          <w:szCs w:val="21"/>
        </w:rPr>
        <w:t xml:space="preserve">                          </w:t>
      </w:r>
      <w:r>
        <w:rPr>
          <w:rFonts w:hint="eastAsia"/>
          <w:sz w:val="21"/>
          <w:szCs w:val="21"/>
          <w:lang w:val="en-US" w:eastAsia="zh-CN"/>
        </w:rPr>
        <w:t xml:space="preserve">                                    </w:t>
      </w:r>
      <w:r>
        <w:rPr>
          <w:rFonts w:hint="eastAsia" w:cs="宋体"/>
          <w:sz w:val="21"/>
          <w:szCs w:val="21"/>
        </w:rPr>
        <w:t>收到“征求意见稿”后，回函的单位数：</w:t>
      </w:r>
      <w:r>
        <w:rPr>
          <w:rFonts w:hint="eastAsia"/>
          <w:sz w:val="21"/>
          <w:szCs w:val="21"/>
          <w:lang w:val="en-US" w:eastAsia="zh-CN"/>
        </w:rPr>
        <w:t>5</w:t>
      </w:r>
      <w:r>
        <w:rPr>
          <w:rFonts w:hint="eastAsia" w:cs="宋体"/>
          <w:sz w:val="21"/>
          <w:szCs w:val="21"/>
        </w:rPr>
        <w:t>个；</w:t>
      </w:r>
    </w:p>
    <w:p>
      <w:pPr>
        <w:keepNext w:val="0"/>
        <w:keepLines w:val="0"/>
        <w:pageBreakBefore w:val="0"/>
        <w:widowControl w:val="0"/>
        <w:kinsoku/>
        <w:wordWrap/>
        <w:overflowPunct/>
        <w:topLinePunct w:val="0"/>
        <w:autoSpaceDE/>
        <w:autoSpaceDN/>
        <w:bidi w:val="0"/>
        <w:adjustRightInd/>
        <w:snapToGrid w:val="0"/>
        <w:spacing w:line="320" w:lineRule="exact"/>
        <w:textAlignment w:val="auto"/>
        <w:rPr>
          <w:sz w:val="21"/>
          <w:szCs w:val="21"/>
        </w:rPr>
      </w:pPr>
      <w:r>
        <w:rPr>
          <w:rFonts w:hint="eastAsia" w:cs="宋体"/>
          <w:sz w:val="21"/>
          <w:szCs w:val="21"/>
        </w:rPr>
        <w:t>收到“征求意见稿”后，回函并提出意见的单位数：</w:t>
      </w:r>
      <w:r>
        <w:rPr>
          <w:rFonts w:hint="eastAsia"/>
          <w:sz w:val="21"/>
          <w:szCs w:val="21"/>
          <w:lang w:val="en-US" w:eastAsia="zh-CN"/>
        </w:rPr>
        <w:t>5</w:t>
      </w:r>
      <w:r>
        <w:rPr>
          <w:rFonts w:hint="eastAsia" w:cs="宋体"/>
          <w:sz w:val="21"/>
          <w:szCs w:val="21"/>
        </w:rPr>
        <w:t>个；</w:t>
      </w:r>
      <w:r>
        <w:rPr>
          <w:sz w:val="21"/>
          <w:szCs w:val="21"/>
        </w:rPr>
        <w:t xml:space="preserve">                       </w:t>
      </w:r>
      <w:r>
        <w:rPr>
          <w:rFonts w:hint="eastAsia"/>
          <w:sz w:val="21"/>
          <w:szCs w:val="21"/>
          <w:lang w:val="en-US" w:eastAsia="zh-CN"/>
        </w:rPr>
        <w:t xml:space="preserve">               </w:t>
      </w:r>
      <w:r>
        <w:rPr>
          <w:sz w:val="21"/>
          <w:szCs w:val="21"/>
        </w:rPr>
        <w:t xml:space="preserve">  </w:t>
      </w:r>
      <w:r>
        <w:rPr>
          <w:rFonts w:hint="eastAsia"/>
          <w:sz w:val="21"/>
          <w:szCs w:val="21"/>
          <w:lang w:val="en-US" w:eastAsia="zh-CN"/>
        </w:rPr>
        <w:t xml:space="preserve">  </w:t>
      </w:r>
      <w:r>
        <w:rPr>
          <w:rFonts w:hint="eastAsia" w:cs="宋体"/>
          <w:sz w:val="21"/>
          <w:szCs w:val="21"/>
        </w:rPr>
        <w:t>没有回函的单位数：</w:t>
      </w:r>
      <w:r>
        <w:rPr>
          <w:sz w:val="21"/>
          <w:szCs w:val="21"/>
        </w:rPr>
        <w:t>0</w:t>
      </w:r>
      <w:r>
        <w:rPr>
          <w:rFonts w:hint="eastAsia" w:cs="宋体"/>
          <w:sz w:val="21"/>
          <w:szCs w:val="21"/>
        </w:rPr>
        <w:t>个。</w:t>
      </w:r>
    </w:p>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ascii="??_GB2312" w:hAnsi="宋体" w:eastAsia="Times New Roman"/>
          <w:sz w:val="21"/>
          <w:szCs w:val="21"/>
        </w:rPr>
      </w:pPr>
      <w:r>
        <w:rPr>
          <w:rFonts w:hint="eastAsia" w:cs="宋体"/>
          <w:sz w:val="21"/>
          <w:szCs w:val="21"/>
        </w:rPr>
        <w:t>共收到</w:t>
      </w:r>
      <w:r>
        <w:rPr>
          <w:rFonts w:hint="eastAsia"/>
          <w:sz w:val="21"/>
          <w:szCs w:val="21"/>
          <w:lang w:val="en-US" w:eastAsia="zh-CN"/>
        </w:rPr>
        <w:t>7</w:t>
      </w:r>
      <w:r>
        <w:rPr>
          <w:rFonts w:hint="eastAsia" w:cs="宋体"/>
          <w:sz w:val="21"/>
          <w:szCs w:val="21"/>
        </w:rPr>
        <w:t>条意见；</w:t>
      </w:r>
      <w:r>
        <w:rPr>
          <w:sz w:val="21"/>
          <w:szCs w:val="21"/>
        </w:rPr>
        <w:t xml:space="preserve">                                                                      </w:t>
      </w:r>
      <w:r>
        <w:rPr>
          <w:rFonts w:hint="eastAsia"/>
          <w:sz w:val="21"/>
          <w:szCs w:val="21"/>
          <w:lang w:val="en-US" w:eastAsia="zh-CN"/>
        </w:rPr>
        <w:t xml:space="preserve">        </w:t>
      </w:r>
      <w:r>
        <w:rPr>
          <w:rFonts w:hint="eastAsia" w:cs="宋体"/>
          <w:sz w:val="21"/>
          <w:szCs w:val="21"/>
        </w:rPr>
        <w:t>采纳</w:t>
      </w:r>
      <w:r>
        <w:rPr>
          <w:rFonts w:hint="eastAsia"/>
          <w:sz w:val="21"/>
          <w:szCs w:val="21"/>
          <w:lang w:val="en-US" w:eastAsia="zh-CN"/>
        </w:rPr>
        <w:t>7</w:t>
      </w:r>
      <w:r>
        <w:rPr>
          <w:rFonts w:hint="eastAsia" w:cs="宋体"/>
          <w:sz w:val="21"/>
          <w:szCs w:val="21"/>
        </w:rPr>
        <w:t>条意见。</w:t>
      </w:r>
    </w:p>
    <w:tbl>
      <w:tblPr>
        <w:tblStyle w:val="11"/>
        <w:tblW w:w="0" w:type="auto"/>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108" w:type="dxa"/>
          <w:bottom w:w="0" w:type="dxa"/>
          <w:right w:w="108" w:type="dxa"/>
        </w:tblCellMar>
      </w:tblPr>
      <w:tblGrid>
        <w:gridCol w:w="839"/>
        <w:gridCol w:w="1958"/>
        <w:gridCol w:w="5083"/>
        <w:gridCol w:w="3183"/>
        <w:gridCol w:w="1080"/>
        <w:gridCol w:w="1981"/>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448" w:hRule="atLeast"/>
          <w:jc w:val="center"/>
        </w:trPr>
        <w:tc>
          <w:tcPr>
            <w:tcW w:w="839" w:type="dxa"/>
            <w:noWrap w:val="0"/>
            <w:vAlign w:val="center"/>
          </w:tcPr>
          <w:p>
            <w:pPr>
              <w:adjustRightInd w:val="0"/>
              <w:snapToGrid w:val="0"/>
              <w:spacing w:line="360" w:lineRule="auto"/>
              <w:jc w:val="center"/>
              <w:rPr>
                <w:szCs w:val="21"/>
              </w:rPr>
            </w:pPr>
            <w:r>
              <w:rPr>
                <w:szCs w:val="21"/>
              </w:rPr>
              <w:t>序号</w:t>
            </w:r>
          </w:p>
        </w:tc>
        <w:tc>
          <w:tcPr>
            <w:tcW w:w="1958" w:type="dxa"/>
            <w:noWrap w:val="0"/>
            <w:vAlign w:val="center"/>
          </w:tcPr>
          <w:p>
            <w:pPr>
              <w:adjustRightInd w:val="0"/>
              <w:snapToGrid w:val="0"/>
              <w:spacing w:line="360" w:lineRule="auto"/>
              <w:jc w:val="center"/>
              <w:rPr>
                <w:szCs w:val="21"/>
              </w:rPr>
            </w:pPr>
            <w:r>
              <w:rPr>
                <w:szCs w:val="21"/>
              </w:rPr>
              <w:t>章条编号</w:t>
            </w:r>
          </w:p>
        </w:tc>
        <w:tc>
          <w:tcPr>
            <w:tcW w:w="5083" w:type="dxa"/>
            <w:noWrap w:val="0"/>
            <w:vAlign w:val="center"/>
          </w:tcPr>
          <w:p>
            <w:pPr>
              <w:adjustRightInd w:val="0"/>
              <w:snapToGrid w:val="0"/>
              <w:spacing w:line="360" w:lineRule="auto"/>
              <w:jc w:val="center"/>
              <w:rPr>
                <w:szCs w:val="21"/>
              </w:rPr>
            </w:pPr>
            <w:r>
              <w:rPr>
                <w:szCs w:val="21"/>
              </w:rPr>
              <w:t>意见内容</w:t>
            </w:r>
          </w:p>
        </w:tc>
        <w:tc>
          <w:tcPr>
            <w:tcW w:w="3183" w:type="dxa"/>
            <w:noWrap w:val="0"/>
            <w:vAlign w:val="center"/>
          </w:tcPr>
          <w:p>
            <w:pPr>
              <w:adjustRightInd w:val="0"/>
              <w:snapToGrid w:val="0"/>
              <w:spacing w:line="360" w:lineRule="auto"/>
              <w:jc w:val="center"/>
              <w:rPr>
                <w:szCs w:val="21"/>
              </w:rPr>
            </w:pPr>
            <w:r>
              <w:rPr>
                <w:szCs w:val="21"/>
              </w:rPr>
              <w:t>提出单位</w:t>
            </w:r>
          </w:p>
        </w:tc>
        <w:tc>
          <w:tcPr>
            <w:tcW w:w="1080" w:type="dxa"/>
            <w:noWrap w:val="0"/>
            <w:vAlign w:val="center"/>
          </w:tcPr>
          <w:p>
            <w:pPr>
              <w:adjustRightInd w:val="0"/>
              <w:snapToGrid w:val="0"/>
              <w:spacing w:line="360" w:lineRule="auto"/>
              <w:jc w:val="center"/>
              <w:rPr>
                <w:szCs w:val="21"/>
              </w:rPr>
            </w:pPr>
            <w:r>
              <w:rPr>
                <w:szCs w:val="21"/>
              </w:rPr>
              <w:t>处理意见</w:t>
            </w:r>
          </w:p>
        </w:tc>
        <w:tc>
          <w:tcPr>
            <w:tcW w:w="1981" w:type="dxa"/>
            <w:noWrap w:val="0"/>
            <w:vAlign w:val="center"/>
          </w:tcPr>
          <w:p>
            <w:pPr>
              <w:adjustRightInd w:val="0"/>
              <w:snapToGrid w:val="0"/>
              <w:spacing w:line="360" w:lineRule="auto"/>
              <w:jc w:val="center"/>
              <w:rPr>
                <w:rFonts w:hint="eastAsia"/>
                <w:szCs w:val="21"/>
              </w:rPr>
            </w:pPr>
            <w:r>
              <w:rPr>
                <w:rFonts w:hint="eastAsia"/>
                <w:szCs w:val="21"/>
              </w:rPr>
              <w:t>备注</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951" w:hRule="atLeast"/>
          <w:jc w:val="center"/>
        </w:trPr>
        <w:tc>
          <w:tcPr>
            <w:tcW w:w="839" w:type="dxa"/>
            <w:noWrap w:val="0"/>
            <w:vAlign w:val="center"/>
          </w:tcPr>
          <w:p>
            <w:pPr>
              <w:adjustRightInd w:val="0"/>
              <w:snapToGrid w:val="0"/>
              <w:spacing w:line="360" w:lineRule="auto"/>
              <w:jc w:val="center"/>
              <w:rPr>
                <w:szCs w:val="21"/>
              </w:rPr>
            </w:pPr>
            <w:r>
              <w:rPr>
                <w:szCs w:val="21"/>
              </w:rPr>
              <w:t>1</w:t>
            </w:r>
          </w:p>
        </w:tc>
        <w:tc>
          <w:tcPr>
            <w:tcW w:w="1958"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4 园地条件</w:t>
            </w:r>
          </w:p>
        </w:tc>
        <w:tc>
          <w:tcPr>
            <w:tcW w:w="5083"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细化园地条件，进一步分类为环境、气候、立地及土壤条件，以便生产操作。</w:t>
            </w:r>
          </w:p>
        </w:tc>
        <w:tc>
          <w:tcPr>
            <w:tcW w:w="3183"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山西省园艺产业发展中心</w:t>
            </w:r>
          </w:p>
        </w:tc>
        <w:tc>
          <w:tcPr>
            <w:tcW w:w="1080"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采纳</w:t>
            </w:r>
          </w:p>
        </w:tc>
        <w:tc>
          <w:tcPr>
            <w:tcW w:w="1981"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增补了相关内容</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38" w:hRule="atLeast"/>
          <w:jc w:val="center"/>
        </w:trPr>
        <w:tc>
          <w:tcPr>
            <w:tcW w:w="839" w:type="dxa"/>
            <w:noWrap w:val="0"/>
            <w:vAlign w:val="center"/>
          </w:tcPr>
          <w:p>
            <w:pPr>
              <w:adjustRightInd w:val="0"/>
              <w:snapToGrid w:val="0"/>
              <w:spacing w:line="360" w:lineRule="auto"/>
              <w:jc w:val="center"/>
              <w:rPr>
                <w:szCs w:val="21"/>
              </w:rPr>
            </w:pPr>
            <w:r>
              <w:rPr>
                <w:rFonts w:hint="eastAsia"/>
                <w:szCs w:val="21"/>
              </w:rPr>
              <w:t>2</w:t>
            </w:r>
          </w:p>
        </w:tc>
        <w:tc>
          <w:tcPr>
            <w:tcW w:w="1958"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5.3品种选择</w:t>
            </w:r>
          </w:p>
        </w:tc>
        <w:tc>
          <w:tcPr>
            <w:tcW w:w="5083"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根据生产发展情况增加早中树苹果嫁接品种</w:t>
            </w:r>
          </w:p>
        </w:tc>
        <w:tc>
          <w:tcPr>
            <w:tcW w:w="3183"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临猗县果业发展中心</w:t>
            </w:r>
          </w:p>
        </w:tc>
        <w:tc>
          <w:tcPr>
            <w:tcW w:w="1080"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采纳</w:t>
            </w:r>
          </w:p>
        </w:tc>
        <w:tc>
          <w:tcPr>
            <w:tcW w:w="1981"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增加了维纳斯黄金等新品种</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708" w:hRule="atLeast"/>
          <w:jc w:val="center"/>
        </w:trPr>
        <w:tc>
          <w:tcPr>
            <w:tcW w:w="839" w:type="dxa"/>
            <w:noWrap w:val="0"/>
            <w:vAlign w:val="center"/>
          </w:tcPr>
          <w:p>
            <w:pPr>
              <w:adjustRightInd w:val="0"/>
              <w:snapToGrid w:val="0"/>
              <w:spacing w:line="360" w:lineRule="auto"/>
              <w:jc w:val="center"/>
              <w:rPr>
                <w:szCs w:val="21"/>
              </w:rPr>
            </w:pPr>
            <w:r>
              <w:rPr>
                <w:rFonts w:hint="eastAsia"/>
                <w:szCs w:val="21"/>
              </w:rPr>
              <w:t>3</w:t>
            </w:r>
          </w:p>
        </w:tc>
        <w:tc>
          <w:tcPr>
            <w:tcW w:w="1958"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6.2 树形模式节</w:t>
            </w:r>
          </w:p>
        </w:tc>
        <w:tc>
          <w:tcPr>
            <w:tcW w:w="5083"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根据20-30年生果园特点，建少骨干枝树龄</w:t>
            </w:r>
          </w:p>
        </w:tc>
        <w:tc>
          <w:tcPr>
            <w:tcW w:w="3183"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临猗县忠定苹果专业合作社</w:t>
            </w:r>
          </w:p>
        </w:tc>
        <w:tc>
          <w:tcPr>
            <w:tcW w:w="1080"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采纳</w:t>
            </w:r>
          </w:p>
        </w:tc>
        <w:tc>
          <w:tcPr>
            <w:tcW w:w="1981"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2-3个</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832" w:hRule="atLeast"/>
          <w:jc w:val="center"/>
        </w:trPr>
        <w:tc>
          <w:tcPr>
            <w:tcW w:w="839" w:type="dxa"/>
            <w:noWrap w:val="0"/>
            <w:vAlign w:val="center"/>
          </w:tcPr>
          <w:p>
            <w:pPr>
              <w:adjustRightInd w:val="0"/>
              <w:snapToGrid w:val="0"/>
              <w:spacing w:line="360" w:lineRule="auto"/>
              <w:jc w:val="center"/>
              <w:rPr>
                <w:rFonts w:hint="eastAsia"/>
                <w:szCs w:val="21"/>
              </w:rPr>
            </w:pPr>
            <w:r>
              <w:rPr>
                <w:rFonts w:hint="eastAsia"/>
                <w:szCs w:val="21"/>
              </w:rPr>
              <w:t>4</w:t>
            </w:r>
          </w:p>
        </w:tc>
        <w:tc>
          <w:tcPr>
            <w:tcW w:w="1958"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6、7章节</w:t>
            </w:r>
          </w:p>
        </w:tc>
        <w:tc>
          <w:tcPr>
            <w:tcW w:w="5083"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为减少篇幅，建议改为引用“苹果高光效开心树形生产技术规程”的相关内容。</w:t>
            </w:r>
          </w:p>
        </w:tc>
        <w:tc>
          <w:tcPr>
            <w:tcW w:w="3183"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山西省园艺产业发展中心</w:t>
            </w:r>
          </w:p>
        </w:tc>
        <w:tc>
          <w:tcPr>
            <w:tcW w:w="1080"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采纳</w:t>
            </w:r>
          </w:p>
        </w:tc>
        <w:tc>
          <w:tcPr>
            <w:tcW w:w="1981"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70" w:hRule="atLeast"/>
          <w:jc w:val="center"/>
        </w:trPr>
        <w:tc>
          <w:tcPr>
            <w:tcW w:w="839" w:type="dxa"/>
            <w:noWrap w:val="0"/>
            <w:vAlign w:val="center"/>
          </w:tcPr>
          <w:p>
            <w:pPr>
              <w:adjustRightInd w:val="0"/>
              <w:snapToGrid w:val="0"/>
              <w:spacing w:line="360" w:lineRule="auto"/>
              <w:jc w:val="center"/>
              <w:rPr>
                <w:rFonts w:hint="eastAsia"/>
                <w:szCs w:val="21"/>
              </w:rPr>
            </w:pPr>
            <w:r>
              <w:rPr>
                <w:rFonts w:hint="eastAsia"/>
                <w:szCs w:val="21"/>
              </w:rPr>
              <w:t>5</w:t>
            </w:r>
          </w:p>
        </w:tc>
        <w:tc>
          <w:tcPr>
            <w:tcW w:w="1958"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5章</w:t>
            </w:r>
          </w:p>
        </w:tc>
        <w:tc>
          <w:tcPr>
            <w:tcW w:w="5083"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本章节可分为“果园密度”和“砧木品种”两个章节，并增加果园动态密度内容。</w:t>
            </w:r>
          </w:p>
        </w:tc>
        <w:tc>
          <w:tcPr>
            <w:tcW w:w="3183"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平陆县金童果业专业合作社</w:t>
            </w:r>
          </w:p>
        </w:tc>
        <w:tc>
          <w:tcPr>
            <w:tcW w:w="1080"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计划采纳</w:t>
            </w:r>
          </w:p>
        </w:tc>
        <w:tc>
          <w:tcPr>
            <w:tcW w:w="1981"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50" w:hRule="atLeast"/>
          <w:jc w:val="center"/>
        </w:trPr>
        <w:tc>
          <w:tcPr>
            <w:tcW w:w="839" w:type="dxa"/>
            <w:noWrap w:val="0"/>
            <w:vAlign w:val="center"/>
          </w:tcPr>
          <w:p>
            <w:pPr>
              <w:adjustRightInd w:val="0"/>
              <w:snapToGrid w:val="0"/>
              <w:spacing w:line="360" w:lineRule="auto"/>
              <w:jc w:val="center"/>
              <w:rPr>
                <w:szCs w:val="21"/>
              </w:rPr>
            </w:pPr>
            <w:r>
              <w:rPr>
                <w:rFonts w:hint="eastAsia"/>
                <w:szCs w:val="21"/>
              </w:rPr>
              <w:t>6</w:t>
            </w:r>
          </w:p>
        </w:tc>
        <w:tc>
          <w:tcPr>
            <w:tcW w:w="1958"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5章</w:t>
            </w:r>
          </w:p>
        </w:tc>
        <w:tc>
          <w:tcPr>
            <w:tcW w:w="5083"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建议明确提出高光效果与经济结果年限</w:t>
            </w:r>
          </w:p>
        </w:tc>
        <w:tc>
          <w:tcPr>
            <w:tcW w:w="3183"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临猗县果业发展中心</w:t>
            </w:r>
          </w:p>
        </w:tc>
        <w:tc>
          <w:tcPr>
            <w:tcW w:w="1080"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采纳</w:t>
            </w:r>
          </w:p>
        </w:tc>
        <w:tc>
          <w:tcPr>
            <w:tcW w:w="1981"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一般为30-50年</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460" w:hRule="atLeast"/>
          <w:jc w:val="center"/>
        </w:trPr>
        <w:tc>
          <w:tcPr>
            <w:tcW w:w="839" w:type="dxa"/>
            <w:noWrap w:val="0"/>
            <w:vAlign w:val="center"/>
          </w:tcPr>
          <w:p>
            <w:pPr>
              <w:adjustRightInd w:val="0"/>
              <w:snapToGrid w:val="0"/>
              <w:spacing w:line="360" w:lineRule="auto"/>
              <w:jc w:val="center"/>
              <w:rPr>
                <w:rFonts w:hint="eastAsia"/>
                <w:szCs w:val="21"/>
              </w:rPr>
            </w:pPr>
            <w:r>
              <w:rPr>
                <w:rFonts w:hint="eastAsia"/>
                <w:szCs w:val="21"/>
              </w:rPr>
              <w:t>7</w:t>
            </w:r>
          </w:p>
        </w:tc>
        <w:tc>
          <w:tcPr>
            <w:tcW w:w="1958"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8 花果管理</w:t>
            </w:r>
          </w:p>
        </w:tc>
        <w:tc>
          <w:tcPr>
            <w:tcW w:w="5083"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增加化学疏花内容及技术参数</w:t>
            </w:r>
          </w:p>
        </w:tc>
        <w:tc>
          <w:tcPr>
            <w:tcW w:w="3183"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蒲县农业资源开发中心</w:t>
            </w:r>
          </w:p>
        </w:tc>
        <w:tc>
          <w:tcPr>
            <w:tcW w:w="1080"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采纳</w:t>
            </w:r>
          </w:p>
        </w:tc>
        <w:tc>
          <w:tcPr>
            <w:tcW w:w="1981" w:type="dxa"/>
            <w:noWrap w:val="0"/>
            <w:vAlign w:val="center"/>
          </w:tcPr>
          <w:p>
            <w:pPr>
              <w:keepNext w:val="0"/>
              <w:keepLines w:val="0"/>
              <w:pageBreakBefore w:val="0"/>
              <w:widowControl w:val="0"/>
              <w:kinsoku/>
              <w:wordWrap/>
              <w:overflowPunct/>
              <w:topLinePunct w:val="0"/>
              <w:autoSpaceDE/>
              <w:autoSpaceDN/>
              <w:bidi w:val="0"/>
              <w:adjustRightInd/>
              <w:snapToGrid w:val="0"/>
              <w:spacing w:line="320" w:lineRule="exact"/>
              <w:textAlignment w:val="auto"/>
              <w:rPr>
                <w:rFonts w:hint="eastAsia" w:cs="宋体"/>
                <w:sz w:val="21"/>
                <w:szCs w:val="21"/>
              </w:rPr>
            </w:pPr>
            <w:r>
              <w:rPr>
                <w:rFonts w:hint="eastAsia" w:cs="宋体"/>
                <w:sz w:val="21"/>
                <w:szCs w:val="21"/>
              </w:rPr>
              <w:t>增加了化学及物理疏花内容</w:t>
            </w:r>
          </w:p>
        </w:tc>
      </w:tr>
    </w:tbl>
    <w:p>
      <w:pPr>
        <w:spacing w:line="360" w:lineRule="auto"/>
        <w:jc w:val="left"/>
      </w:pPr>
    </w:p>
    <w:sectPr>
      <w:pgSz w:w="16838" w:h="11906" w:orient="landscape"/>
      <w:pgMar w:top="1800" w:right="1440" w:bottom="1800" w:left="144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8</w:t>
    </w:r>
    <w:r>
      <w:rPr>
        <w:lang w:val="zh-CN"/>
      </w:rP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8F6EDC"/>
    <w:multiLevelType w:val="singleLevel"/>
    <w:tmpl w:val="0D8F6EDC"/>
    <w:lvl w:ilvl="0" w:tentative="0">
      <w:start w:val="2"/>
      <w:numFmt w:val="decimal"/>
      <w:suff w:val="nothing"/>
      <w:lvlText w:val="（%1）"/>
      <w:lvlJc w:val="left"/>
    </w:lvl>
  </w:abstractNum>
  <w:abstractNum w:abstractNumId="1">
    <w:nsid w:val="6CEA2025"/>
    <w:multiLevelType w:val="multilevel"/>
    <w:tmpl w:val="6CEA2025"/>
    <w:lvl w:ilvl="0" w:tentative="0">
      <w:start w:val="1"/>
      <w:numFmt w:val="none"/>
      <w:pStyle w:val="39"/>
      <w:suff w:val="nothing"/>
      <w:lvlText w:val="%1"/>
      <w:lvlJc w:val="left"/>
      <w:rPr>
        <w:rFonts w:hint="eastAsia"/>
      </w:rPr>
    </w:lvl>
    <w:lvl w:ilvl="1" w:tentative="0">
      <w:start w:val="1"/>
      <w:numFmt w:val="decimal"/>
      <w:pStyle w:val="37"/>
      <w:suff w:val="nothing"/>
      <w:lvlText w:val="%1%2　"/>
      <w:lvlJc w:val="left"/>
      <w:rPr>
        <w:rFonts w:hint="eastAsia" w:ascii="黑体" w:eastAsia="黑体"/>
        <w:b w:val="0"/>
        <w:bCs w:val="0"/>
        <w:i w:val="0"/>
        <w:iCs w:val="0"/>
        <w:sz w:val="21"/>
        <w:szCs w:val="21"/>
      </w:rPr>
    </w:lvl>
    <w:lvl w:ilvl="2" w:tentative="0">
      <w:start w:val="1"/>
      <w:numFmt w:val="decimal"/>
      <w:pStyle w:val="38"/>
      <w:suff w:val="nothing"/>
      <w:lvlText w:val="%1%2.%3　"/>
      <w:lvlJc w:val="left"/>
      <w:rPr>
        <w:rFonts w:hint="eastAsia" w:ascii="黑体" w:hAnsi="Times New Roman" w:eastAsia="黑体"/>
        <w:b w:val="0"/>
        <w:bCs w:val="0"/>
        <w:i w:val="0"/>
        <w:iCs w:val="0"/>
        <w:caps w:val="0"/>
        <w:smallCaps w:val="0"/>
        <w:strike w:val="0"/>
        <w:dstrike w:val="0"/>
        <w:vanish w:val="0"/>
        <w:color w:val="000000"/>
        <w:spacing w:val="0"/>
        <w:kern w:val="0"/>
        <w:position w:val="0"/>
        <w:sz w:val="21"/>
        <w:szCs w:val="21"/>
        <w:u w:val="none"/>
        <w:vertAlign w:val="baseline"/>
      </w:rPr>
    </w:lvl>
    <w:lvl w:ilvl="3" w:tentative="0">
      <w:start w:val="1"/>
      <w:numFmt w:val="decimal"/>
      <w:pStyle w:val="33"/>
      <w:suff w:val="nothing"/>
      <w:lvlText w:val="%1%2.%3.%4　"/>
      <w:lvlJc w:val="left"/>
      <w:rPr>
        <w:rFonts w:hint="eastAsia" w:ascii="黑体" w:eastAsia="黑体"/>
        <w:b w:val="0"/>
        <w:bCs w:val="0"/>
        <w:i w:val="0"/>
        <w:iCs w:val="0"/>
        <w:sz w:val="21"/>
        <w:szCs w:val="21"/>
      </w:rPr>
    </w:lvl>
    <w:lvl w:ilvl="4" w:tentative="0">
      <w:start w:val="1"/>
      <w:numFmt w:val="decimal"/>
      <w:pStyle w:val="34"/>
      <w:suff w:val="nothing"/>
      <w:lvlText w:val="%1%2.%3.%4.%5　"/>
      <w:lvlJc w:val="left"/>
      <w:rPr>
        <w:rFonts w:hint="eastAsia" w:ascii="黑体" w:eastAsia="黑体"/>
        <w:b w:val="0"/>
        <w:bCs w:val="0"/>
        <w:i w:val="0"/>
        <w:iCs w:val="0"/>
        <w:sz w:val="21"/>
        <w:szCs w:val="21"/>
      </w:rPr>
    </w:lvl>
    <w:lvl w:ilvl="5" w:tentative="0">
      <w:start w:val="1"/>
      <w:numFmt w:val="decimal"/>
      <w:pStyle w:val="35"/>
      <w:suff w:val="nothing"/>
      <w:lvlText w:val="%1%2.%3.%4.%5.%6　"/>
      <w:lvlJc w:val="left"/>
      <w:rPr>
        <w:rFonts w:hint="eastAsia" w:ascii="黑体" w:eastAsia="黑体"/>
        <w:b w:val="0"/>
        <w:bCs w:val="0"/>
        <w:i w:val="0"/>
        <w:iCs w:val="0"/>
        <w:sz w:val="21"/>
        <w:szCs w:val="21"/>
      </w:rPr>
    </w:lvl>
    <w:lvl w:ilvl="6" w:tentative="0">
      <w:start w:val="1"/>
      <w:numFmt w:val="decimal"/>
      <w:pStyle w:val="36"/>
      <w:suff w:val="nothing"/>
      <w:lvlText w:val="%1%2.%3.%4.%5.%6.%7　"/>
      <w:lvlJc w:val="left"/>
      <w:rPr>
        <w:rFonts w:hint="eastAsia" w:ascii="黑体"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AyODY4ZWU3ZjBkZWY4NjExMGVjMzQyNWMyNjlkYjgifQ=="/>
  </w:docVars>
  <w:rsids>
    <w:rsidRoot w:val="00636FC5"/>
    <w:rsid w:val="00001C9C"/>
    <w:rsid w:val="00002121"/>
    <w:rsid w:val="00003D4E"/>
    <w:rsid w:val="0001430A"/>
    <w:rsid w:val="000173E8"/>
    <w:rsid w:val="000203B7"/>
    <w:rsid w:val="00021FC1"/>
    <w:rsid w:val="00024D73"/>
    <w:rsid w:val="00025BA5"/>
    <w:rsid w:val="00035FEB"/>
    <w:rsid w:val="000443C0"/>
    <w:rsid w:val="00045395"/>
    <w:rsid w:val="00045C4C"/>
    <w:rsid w:val="000471FB"/>
    <w:rsid w:val="00051B0A"/>
    <w:rsid w:val="00054BA0"/>
    <w:rsid w:val="000607D4"/>
    <w:rsid w:val="00061514"/>
    <w:rsid w:val="0006204E"/>
    <w:rsid w:val="00073F3B"/>
    <w:rsid w:val="000754B9"/>
    <w:rsid w:val="00080D84"/>
    <w:rsid w:val="00087B70"/>
    <w:rsid w:val="0009360F"/>
    <w:rsid w:val="0009699A"/>
    <w:rsid w:val="000974DE"/>
    <w:rsid w:val="000A23F9"/>
    <w:rsid w:val="000A281F"/>
    <w:rsid w:val="000B59DE"/>
    <w:rsid w:val="000C1548"/>
    <w:rsid w:val="000C203B"/>
    <w:rsid w:val="000C24FA"/>
    <w:rsid w:val="000C2F16"/>
    <w:rsid w:val="000C3919"/>
    <w:rsid w:val="000C5AE1"/>
    <w:rsid w:val="000C62FE"/>
    <w:rsid w:val="000D36A5"/>
    <w:rsid w:val="000D7E22"/>
    <w:rsid w:val="000E0029"/>
    <w:rsid w:val="000E0518"/>
    <w:rsid w:val="000E5DDF"/>
    <w:rsid w:val="00104D9E"/>
    <w:rsid w:val="001079E4"/>
    <w:rsid w:val="00114B28"/>
    <w:rsid w:val="00136B80"/>
    <w:rsid w:val="00140883"/>
    <w:rsid w:val="001422D2"/>
    <w:rsid w:val="00142DCA"/>
    <w:rsid w:val="001451F2"/>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C3D31"/>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1DE"/>
    <w:rsid w:val="00233658"/>
    <w:rsid w:val="00233B76"/>
    <w:rsid w:val="00243164"/>
    <w:rsid w:val="00243B8F"/>
    <w:rsid w:val="00243DA6"/>
    <w:rsid w:val="00243E19"/>
    <w:rsid w:val="00247BC6"/>
    <w:rsid w:val="002508ED"/>
    <w:rsid w:val="00252DE5"/>
    <w:rsid w:val="002606D8"/>
    <w:rsid w:val="00261187"/>
    <w:rsid w:val="00267EEC"/>
    <w:rsid w:val="00270C24"/>
    <w:rsid w:val="00273B1D"/>
    <w:rsid w:val="002746DC"/>
    <w:rsid w:val="00277378"/>
    <w:rsid w:val="00277EC1"/>
    <w:rsid w:val="0028564F"/>
    <w:rsid w:val="00285ABA"/>
    <w:rsid w:val="002B52FE"/>
    <w:rsid w:val="002B6A3E"/>
    <w:rsid w:val="002B7335"/>
    <w:rsid w:val="002C169F"/>
    <w:rsid w:val="002C3C6B"/>
    <w:rsid w:val="002D3E11"/>
    <w:rsid w:val="002E04E6"/>
    <w:rsid w:val="002E5A2F"/>
    <w:rsid w:val="003024F7"/>
    <w:rsid w:val="0031028C"/>
    <w:rsid w:val="003150DE"/>
    <w:rsid w:val="00315657"/>
    <w:rsid w:val="003158E5"/>
    <w:rsid w:val="003221E9"/>
    <w:rsid w:val="003259E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810BA"/>
    <w:rsid w:val="003925B2"/>
    <w:rsid w:val="00394B25"/>
    <w:rsid w:val="0039560A"/>
    <w:rsid w:val="003A21FE"/>
    <w:rsid w:val="003A5C65"/>
    <w:rsid w:val="003B0DE6"/>
    <w:rsid w:val="003B17F4"/>
    <w:rsid w:val="003B1D77"/>
    <w:rsid w:val="003B7D6F"/>
    <w:rsid w:val="003C3911"/>
    <w:rsid w:val="003D3463"/>
    <w:rsid w:val="003D528A"/>
    <w:rsid w:val="003D6374"/>
    <w:rsid w:val="003D6FB0"/>
    <w:rsid w:val="003E0207"/>
    <w:rsid w:val="003E24D6"/>
    <w:rsid w:val="003E2D3A"/>
    <w:rsid w:val="003F035B"/>
    <w:rsid w:val="003F1FC6"/>
    <w:rsid w:val="003F3EBE"/>
    <w:rsid w:val="00402952"/>
    <w:rsid w:val="004047A2"/>
    <w:rsid w:val="00404C7A"/>
    <w:rsid w:val="00407C56"/>
    <w:rsid w:val="00410C0E"/>
    <w:rsid w:val="00420EB4"/>
    <w:rsid w:val="004240E3"/>
    <w:rsid w:val="00433525"/>
    <w:rsid w:val="00435EF8"/>
    <w:rsid w:val="00441A8F"/>
    <w:rsid w:val="00441B8A"/>
    <w:rsid w:val="0044501D"/>
    <w:rsid w:val="004450AB"/>
    <w:rsid w:val="00451A7E"/>
    <w:rsid w:val="004547E0"/>
    <w:rsid w:val="00461F43"/>
    <w:rsid w:val="0046480C"/>
    <w:rsid w:val="004679BA"/>
    <w:rsid w:val="004770BA"/>
    <w:rsid w:val="0048050F"/>
    <w:rsid w:val="00485AB3"/>
    <w:rsid w:val="00487C47"/>
    <w:rsid w:val="0049020D"/>
    <w:rsid w:val="004943B6"/>
    <w:rsid w:val="00494F67"/>
    <w:rsid w:val="00495DCD"/>
    <w:rsid w:val="004A0CC0"/>
    <w:rsid w:val="004A2295"/>
    <w:rsid w:val="004A6D81"/>
    <w:rsid w:val="004A7E24"/>
    <w:rsid w:val="004B7966"/>
    <w:rsid w:val="004B7B8C"/>
    <w:rsid w:val="004D4066"/>
    <w:rsid w:val="004D62AF"/>
    <w:rsid w:val="004E42DA"/>
    <w:rsid w:val="004E45D5"/>
    <w:rsid w:val="004E49DF"/>
    <w:rsid w:val="004E531D"/>
    <w:rsid w:val="004E5AFA"/>
    <w:rsid w:val="004F10CE"/>
    <w:rsid w:val="004F4490"/>
    <w:rsid w:val="004F4EF5"/>
    <w:rsid w:val="004F6A63"/>
    <w:rsid w:val="00504A7B"/>
    <w:rsid w:val="0050538B"/>
    <w:rsid w:val="005119FA"/>
    <w:rsid w:val="00513F60"/>
    <w:rsid w:val="005165DC"/>
    <w:rsid w:val="00532A27"/>
    <w:rsid w:val="00532EC9"/>
    <w:rsid w:val="0053409C"/>
    <w:rsid w:val="0053513E"/>
    <w:rsid w:val="005354BE"/>
    <w:rsid w:val="00535FC3"/>
    <w:rsid w:val="00536728"/>
    <w:rsid w:val="0056323B"/>
    <w:rsid w:val="00564B59"/>
    <w:rsid w:val="00573771"/>
    <w:rsid w:val="005811F3"/>
    <w:rsid w:val="00582DEA"/>
    <w:rsid w:val="0058589E"/>
    <w:rsid w:val="005913FC"/>
    <w:rsid w:val="0059142D"/>
    <w:rsid w:val="005915E3"/>
    <w:rsid w:val="00597C60"/>
    <w:rsid w:val="005A0ED2"/>
    <w:rsid w:val="005A3C89"/>
    <w:rsid w:val="005A42A5"/>
    <w:rsid w:val="005B07C8"/>
    <w:rsid w:val="005B1473"/>
    <w:rsid w:val="005B4A6F"/>
    <w:rsid w:val="005B7CA6"/>
    <w:rsid w:val="005C1F9E"/>
    <w:rsid w:val="005D7139"/>
    <w:rsid w:val="005E5E7B"/>
    <w:rsid w:val="005F020B"/>
    <w:rsid w:val="005F3B9E"/>
    <w:rsid w:val="005F3DB9"/>
    <w:rsid w:val="005F50AA"/>
    <w:rsid w:val="005F5D65"/>
    <w:rsid w:val="005F76FB"/>
    <w:rsid w:val="00604181"/>
    <w:rsid w:val="00604E2D"/>
    <w:rsid w:val="0060567D"/>
    <w:rsid w:val="00611A58"/>
    <w:rsid w:val="00614AA4"/>
    <w:rsid w:val="00616FC1"/>
    <w:rsid w:val="00620469"/>
    <w:rsid w:val="006206EA"/>
    <w:rsid w:val="0063154F"/>
    <w:rsid w:val="00633B19"/>
    <w:rsid w:val="00633EF1"/>
    <w:rsid w:val="00636FC5"/>
    <w:rsid w:val="006400BA"/>
    <w:rsid w:val="00641B9A"/>
    <w:rsid w:val="006423BB"/>
    <w:rsid w:val="00642628"/>
    <w:rsid w:val="006467CA"/>
    <w:rsid w:val="006500A2"/>
    <w:rsid w:val="0066172F"/>
    <w:rsid w:val="00662AD1"/>
    <w:rsid w:val="00663745"/>
    <w:rsid w:val="00670B31"/>
    <w:rsid w:val="006756E6"/>
    <w:rsid w:val="00680F3E"/>
    <w:rsid w:val="0068404D"/>
    <w:rsid w:val="00691427"/>
    <w:rsid w:val="006915F6"/>
    <w:rsid w:val="00691656"/>
    <w:rsid w:val="006918FB"/>
    <w:rsid w:val="00693173"/>
    <w:rsid w:val="0069777F"/>
    <w:rsid w:val="006A4784"/>
    <w:rsid w:val="006A5225"/>
    <w:rsid w:val="006A7107"/>
    <w:rsid w:val="006A770D"/>
    <w:rsid w:val="006B3E2E"/>
    <w:rsid w:val="006C472E"/>
    <w:rsid w:val="006C7054"/>
    <w:rsid w:val="006D0FBE"/>
    <w:rsid w:val="006D1116"/>
    <w:rsid w:val="006E02DD"/>
    <w:rsid w:val="006E1129"/>
    <w:rsid w:val="00702811"/>
    <w:rsid w:val="00706BC0"/>
    <w:rsid w:val="007138B0"/>
    <w:rsid w:val="00713D54"/>
    <w:rsid w:val="00715399"/>
    <w:rsid w:val="00720C80"/>
    <w:rsid w:val="007230A0"/>
    <w:rsid w:val="0072360B"/>
    <w:rsid w:val="0072435E"/>
    <w:rsid w:val="007249D5"/>
    <w:rsid w:val="00730F68"/>
    <w:rsid w:val="00734037"/>
    <w:rsid w:val="0074190C"/>
    <w:rsid w:val="00743BCA"/>
    <w:rsid w:val="00755C73"/>
    <w:rsid w:val="00757A64"/>
    <w:rsid w:val="00760C71"/>
    <w:rsid w:val="00763867"/>
    <w:rsid w:val="007665EF"/>
    <w:rsid w:val="00767B97"/>
    <w:rsid w:val="0077176C"/>
    <w:rsid w:val="00772C34"/>
    <w:rsid w:val="00773A15"/>
    <w:rsid w:val="007743EC"/>
    <w:rsid w:val="00776852"/>
    <w:rsid w:val="00776D66"/>
    <w:rsid w:val="00777B27"/>
    <w:rsid w:val="00791BB3"/>
    <w:rsid w:val="0079399E"/>
    <w:rsid w:val="00795AB4"/>
    <w:rsid w:val="007975E1"/>
    <w:rsid w:val="007A65A0"/>
    <w:rsid w:val="007B0D2E"/>
    <w:rsid w:val="007B2777"/>
    <w:rsid w:val="007B2968"/>
    <w:rsid w:val="007C39F2"/>
    <w:rsid w:val="007C3AD6"/>
    <w:rsid w:val="007C3D18"/>
    <w:rsid w:val="007D08C1"/>
    <w:rsid w:val="007D31A8"/>
    <w:rsid w:val="007E6D31"/>
    <w:rsid w:val="00800843"/>
    <w:rsid w:val="008024F2"/>
    <w:rsid w:val="00807629"/>
    <w:rsid w:val="008125DA"/>
    <w:rsid w:val="00817229"/>
    <w:rsid w:val="00820DFB"/>
    <w:rsid w:val="00821F58"/>
    <w:rsid w:val="008263E7"/>
    <w:rsid w:val="008306CD"/>
    <w:rsid w:val="00840427"/>
    <w:rsid w:val="008449F5"/>
    <w:rsid w:val="0084546C"/>
    <w:rsid w:val="008471EC"/>
    <w:rsid w:val="008519FE"/>
    <w:rsid w:val="00856ECE"/>
    <w:rsid w:val="00862581"/>
    <w:rsid w:val="00863825"/>
    <w:rsid w:val="008729C9"/>
    <w:rsid w:val="00874B45"/>
    <w:rsid w:val="00880EC6"/>
    <w:rsid w:val="00884A91"/>
    <w:rsid w:val="00887105"/>
    <w:rsid w:val="008935DA"/>
    <w:rsid w:val="008A1B81"/>
    <w:rsid w:val="008A36A4"/>
    <w:rsid w:val="008A699E"/>
    <w:rsid w:val="008A6D37"/>
    <w:rsid w:val="008B7F7F"/>
    <w:rsid w:val="008C1D81"/>
    <w:rsid w:val="008C4583"/>
    <w:rsid w:val="008E256F"/>
    <w:rsid w:val="008E454E"/>
    <w:rsid w:val="008F1AAD"/>
    <w:rsid w:val="008F5288"/>
    <w:rsid w:val="0091113A"/>
    <w:rsid w:val="00915F25"/>
    <w:rsid w:val="009166F0"/>
    <w:rsid w:val="00916E3B"/>
    <w:rsid w:val="00920385"/>
    <w:rsid w:val="00920544"/>
    <w:rsid w:val="009211BD"/>
    <w:rsid w:val="0092160B"/>
    <w:rsid w:val="0092627B"/>
    <w:rsid w:val="00934199"/>
    <w:rsid w:val="009358E1"/>
    <w:rsid w:val="00936A6B"/>
    <w:rsid w:val="00953792"/>
    <w:rsid w:val="00964B97"/>
    <w:rsid w:val="009705E2"/>
    <w:rsid w:val="00975940"/>
    <w:rsid w:val="0098254B"/>
    <w:rsid w:val="00983D55"/>
    <w:rsid w:val="0098417D"/>
    <w:rsid w:val="009875C5"/>
    <w:rsid w:val="00991DF6"/>
    <w:rsid w:val="0099572B"/>
    <w:rsid w:val="00996196"/>
    <w:rsid w:val="0099787D"/>
    <w:rsid w:val="009A2FA1"/>
    <w:rsid w:val="009B4E35"/>
    <w:rsid w:val="009C3329"/>
    <w:rsid w:val="009C558A"/>
    <w:rsid w:val="009C596B"/>
    <w:rsid w:val="009C5E73"/>
    <w:rsid w:val="009D5C90"/>
    <w:rsid w:val="009E3DCE"/>
    <w:rsid w:val="009F1169"/>
    <w:rsid w:val="009F39E8"/>
    <w:rsid w:val="009F75FD"/>
    <w:rsid w:val="00A2176F"/>
    <w:rsid w:val="00A25526"/>
    <w:rsid w:val="00A30ABC"/>
    <w:rsid w:val="00A31F81"/>
    <w:rsid w:val="00A37819"/>
    <w:rsid w:val="00A4435A"/>
    <w:rsid w:val="00A4451F"/>
    <w:rsid w:val="00A46A80"/>
    <w:rsid w:val="00A50EBF"/>
    <w:rsid w:val="00A52D3C"/>
    <w:rsid w:val="00A53139"/>
    <w:rsid w:val="00A53AA5"/>
    <w:rsid w:val="00A5458D"/>
    <w:rsid w:val="00A57273"/>
    <w:rsid w:val="00A62ED4"/>
    <w:rsid w:val="00A6637E"/>
    <w:rsid w:val="00A73148"/>
    <w:rsid w:val="00A74F2B"/>
    <w:rsid w:val="00A8184F"/>
    <w:rsid w:val="00A90B3A"/>
    <w:rsid w:val="00A935E8"/>
    <w:rsid w:val="00A9450A"/>
    <w:rsid w:val="00A9569D"/>
    <w:rsid w:val="00AA538B"/>
    <w:rsid w:val="00AA685C"/>
    <w:rsid w:val="00AB297F"/>
    <w:rsid w:val="00AB4A9B"/>
    <w:rsid w:val="00AC0AF2"/>
    <w:rsid w:val="00AC2568"/>
    <w:rsid w:val="00AC7446"/>
    <w:rsid w:val="00AD10B8"/>
    <w:rsid w:val="00AD6B94"/>
    <w:rsid w:val="00AF0D1C"/>
    <w:rsid w:val="00AF58B6"/>
    <w:rsid w:val="00B01F81"/>
    <w:rsid w:val="00B03A6D"/>
    <w:rsid w:val="00B04CAD"/>
    <w:rsid w:val="00B04FD0"/>
    <w:rsid w:val="00B071E5"/>
    <w:rsid w:val="00B104BD"/>
    <w:rsid w:val="00B1146C"/>
    <w:rsid w:val="00B130AF"/>
    <w:rsid w:val="00B22B39"/>
    <w:rsid w:val="00B24ED8"/>
    <w:rsid w:val="00B271DE"/>
    <w:rsid w:val="00B27F8A"/>
    <w:rsid w:val="00B3317B"/>
    <w:rsid w:val="00B36550"/>
    <w:rsid w:val="00B43960"/>
    <w:rsid w:val="00B503CA"/>
    <w:rsid w:val="00B56043"/>
    <w:rsid w:val="00B67E1C"/>
    <w:rsid w:val="00B767B8"/>
    <w:rsid w:val="00B77A1D"/>
    <w:rsid w:val="00B80ADA"/>
    <w:rsid w:val="00B8370A"/>
    <w:rsid w:val="00B85CE2"/>
    <w:rsid w:val="00B877F0"/>
    <w:rsid w:val="00B93351"/>
    <w:rsid w:val="00B95E63"/>
    <w:rsid w:val="00B96E91"/>
    <w:rsid w:val="00BA2CDB"/>
    <w:rsid w:val="00BA3C87"/>
    <w:rsid w:val="00BA595B"/>
    <w:rsid w:val="00BA7A98"/>
    <w:rsid w:val="00BB1509"/>
    <w:rsid w:val="00BB6BC4"/>
    <w:rsid w:val="00BC2F49"/>
    <w:rsid w:val="00BC5FAC"/>
    <w:rsid w:val="00BD5606"/>
    <w:rsid w:val="00BE2554"/>
    <w:rsid w:val="00BE3B52"/>
    <w:rsid w:val="00BE465C"/>
    <w:rsid w:val="00C0419D"/>
    <w:rsid w:val="00C05123"/>
    <w:rsid w:val="00C06C73"/>
    <w:rsid w:val="00C15323"/>
    <w:rsid w:val="00C3286F"/>
    <w:rsid w:val="00C3299F"/>
    <w:rsid w:val="00C33013"/>
    <w:rsid w:val="00C411B7"/>
    <w:rsid w:val="00C43949"/>
    <w:rsid w:val="00C459D1"/>
    <w:rsid w:val="00C505BD"/>
    <w:rsid w:val="00C561D9"/>
    <w:rsid w:val="00C665D4"/>
    <w:rsid w:val="00C7245E"/>
    <w:rsid w:val="00C76C16"/>
    <w:rsid w:val="00C77D84"/>
    <w:rsid w:val="00C815C4"/>
    <w:rsid w:val="00C84B6C"/>
    <w:rsid w:val="00C91A98"/>
    <w:rsid w:val="00C93AC5"/>
    <w:rsid w:val="00CA0F6E"/>
    <w:rsid w:val="00CA1614"/>
    <w:rsid w:val="00CA54AC"/>
    <w:rsid w:val="00CA746E"/>
    <w:rsid w:val="00CA7B78"/>
    <w:rsid w:val="00CB117C"/>
    <w:rsid w:val="00CC297A"/>
    <w:rsid w:val="00CC3B0C"/>
    <w:rsid w:val="00CD4D54"/>
    <w:rsid w:val="00CD687E"/>
    <w:rsid w:val="00CD6BB6"/>
    <w:rsid w:val="00CE3B64"/>
    <w:rsid w:val="00CE7C77"/>
    <w:rsid w:val="00CF763D"/>
    <w:rsid w:val="00D002E5"/>
    <w:rsid w:val="00D020CC"/>
    <w:rsid w:val="00D042CB"/>
    <w:rsid w:val="00D10633"/>
    <w:rsid w:val="00D10DC3"/>
    <w:rsid w:val="00D17707"/>
    <w:rsid w:val="00D211A9"/>
    <w:rsid w:val="00D259BF"/>
    <w:rsid w:val="00D26281"/>
    <w:rsid w:val="00D27F7C"/>
    <w:rsid w:val="00D46020"/>
    <w:rsid w:val="00D56B74"/>
    <w:rsid w:val="00D57A84"/>
    <w:rsid w:val="00D665A9"/>
    <w:rsid w:val="00D72927"/>
    <w:rsid w:val="00D72C03"/>
    <w:rsid w:val="00D81CD3"/>
    <w:rsid w:val="00D9062C"/>
    <w:rsid w:val="00D91C3A"/>
    <w:rsid w:val="00D93605"/>
    <w:rsid w:val="00D9617E"/>
    <w:rsid w:val="00DA3FAE"/>
    <w:rsid w:val="00DB07A4"/>
    <w:rsid w:val="00DB0DAB"/>
    <w:rsid w:val="00DB2837"/>
    <w:rsid w:val="00DB2D8F"/>
    <w:rsid w:val="00DB4B2E"/>
    <w:rsid w:val="00DB6514"/>
    <w:rsid w:val="00DB6A89"/>
    <w:rsid w:val="00DC266B"/>
    <w:rsid w:val="00DC4130"/>
    <w:rsid w:val="00DD18A1"/>
    <w:rsid w:val="00DD4471"/>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628B1"/>
    <w:rsid w:val="00E71D53"/>
    <w:rsid w:val="00E722BD"/>
    <w:rsid w:val="00E830F6"/>
    <w:rsid w:val="00E87347"/>
    <w:rsid w:val="00E945B0"/>
    <w:rsid w:val="00E94AFD"/>
    <w:rsid w:val="00E957AE"/>
    <w:rsid w:val="00EA6262"/>
    <w:rsid w:val="00EB4480"/>
    <w:rsid w:val="00EB6465"/>
    <w:rsid w:val="00ED6677"/>
    <w:rsid w:val="00EE6530"/>
    <w:rsid w:val="00F00E80"/>
    <w:rsid w:val="00F0713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2835"/>
    <w:rsid w:val="00F73553"/>
    <w:rsid w:val="00F778B9"/>
    <w:rsid w:val="00F77E65"/>
    <w:rsid w:val="00F8226F"/>
    <w:rsid w:val="00F83543"/>
    <w:rsid w:val="00F84C53"/>
    <w:rsid w:val="00F907D1"/>
    <w:rsid w:val="00F926B8"/>
    <w:rsid w:val="00F9426F"/>
    <w:rsid w:val="00F95F55"/>
    <w:rsid w:val="00F968DC"/>
    <w:rsid w:val="00FA2E27"/>
    <w:rsid w:val="00FA4128"/>
    <w:rsid w:val="00FA50A6"/>
    <w:rsid w:val="00FA6158"/>
    <w:rsid w:val="00FA63F4"/>
    <w:rsid w:val="00FB15E3"/>
    <w:rsid w:val="00FB79BD"/>
    <w:rsid w:val="00FC754C"/>
    <w:rsid w:val="00FD0304"/>
    <w:rsid w:val="00FD3CE4"/>
    <w:rsid w:val="00FD684B"/>
    <w:rsid w:val="04857B06"/>
    <w:rsid w:val="07741DF6"/>
    <w:rsid w:val="0CFD6BFE"/>
    <w:rsid w:val="12812171"/>
    <w:rsid w:val="1501269B"/>
    <w:rsid w:val="28C37AE7"/>
    <w:rsid w:val="370940CC"/>
    <w:rsid w:val="39905AF8"/>
    <w:rsid w:val="526112FD"/>
    <w:rsid w:val="53BA74B6"/>
    <w:rsid w:val="546A4E3B"/>
    <w:rsid w:val="58C55C73"/>
    <w:rsid w:val="6A5C5F97"/>
    <w:rsid w:val="71A76E4A"/>
    <w:rsid w:val="78C33907"/>
    <w:rsid w:val="7E6B5FE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ocked="1"/>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7"/>
    <w:autoRedefine/>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3"/>
    <w:basedOn w:val="1"/>
    <w:next w:val="1"/>
    <w:link w:val="18"/>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3">
    <w:name w:val="Default Paragraph Font"/>
    <w:link w:val="14"/>
    <w:semiHidden/>
    <w:qFormat/>
    <w:locked/>
    <w:uiPriority w:val="99"/>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4">
    <w:name w:val="caption"/>
    <w:basedOn w:val="1"/>
    <w:autoRedefine/>
    <w:qFormat/>
    <w:uiPriority w:val="99"/>
    <w:pPr>
      <w:suppressLineNumbers/>
      <w:suppressAutoHyphens/>
      <w:spacing w:before="120" w:after="120"/>
    </w:pPr>
    <w:rPr>
      <w:i/>
      <w:iCs/>
      <w:kern w:val="21"/>
      <w:sz w:val="24"/>
      <w:szCs w:val="24"/>
      <w:lang w:eastAsia="ar-SA"/>
    </w:rPr>
  </w:style>
  <w:style w:type="paragraph" w:styleId="5">
    <w:name w:val="Body Text"/>
    <w:basedOn w:val="1"/>
    <w:link w:val="19"/>
    <w:autoRedefine/>
    <w:qFormat/>
    <w:uiPriority w:val="99"/>
    <w:pPr>
      <w:spacing w:after="120"/>
    </w:pPr>
  </w:style>
  <w:style w:type="paragraph" w:styleId="6">
    <w:name w:val="Date"/>
    <w:basedOn w:val="1"/>
    <w:next w:val="1"/>
    <w:link w:val="20"/>
    <w:autoRedefine/>
    <w:semiHidden/>
    <w:qFormat/>
    <w:uiPriority w:val="99"/>
    <w:pPr>
      <w:ind w:left="100" w:leftChars="2500"/>
    </w:pPr>
  </w:style>
  <w:style w:type="paragraph" w:styleId="7">
    <w:name w:val="Balloon Text"/>
    <w:basedOn w:val="1"/>
    <w:link w:val="21"/>
    <w:autoRedefine/>
    <w:semiHidden/>
    <w:qFormat/>
    <w:uiPriority w:val="99"/>
    <w:rPr>
      <w:sz w:val="18"/>
      <w:szCs w:val="18"/>
    </w:rPr>
  </w:style>
  <w:style w:type="paragraph" w:styleId="8">
    <w:name w:val="footer"/>
    <w:basedOn w:val="1"/>
    <w:link w:val="22"/>
    <w:autoRedefine/>
    <w:qFormat/>
    <w:uiPriority w:val="99"/>
    <w:pPr>
      <w:tabs>
        <w:tab w:val="center" w:pos="4153"/>
        <w:tab w:val="right" w:pos="8306"/>
      </w:tabs>
      <w:snapToGrid w:val="0"/>
      <w:jc w:val="left"/>
    </w:pPr>
    <w:rPr>
      <w:kern w:val="0"/>
      <w:sz w:val="18"/>
      <w:szCs w:val="18"/>
    </w:rPr>
  </w:style>
  <w:style w:type="paragraph" w:styleId="9">
    <w:name w:val="header"/>
    <w:basedOn w:val="1"/>
    <w:link w:val="23"/>
    <w:autoRedefine/>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Normal (Web)"/>
    <w:basedOn w:val="1"/>
    <w:next w:val="1"/>
    <w:autoRedefine/>
    <w:qFormat/>
    <w:uiPriority w:val="99"/>
    <w:pPr>
      <w:spacing w:before="100" w:beforeAutospacing="1" w:after="100" w:afterAutospacing="1"/>
      <w:jc w:val="left"/>
    </w:pPr>
    <w:rPr>
      <w:kern w:val="0"/>
      <w:sz w:val="24"/>
      <w:szCs w:val="24"/>
    </w:rPr>
  </w:style>
  <w:style w:type="table" w:styleId="12">
    <w:name w:val="Table Grid"/>
    <w:basedOn w:val="11"/>
    <w:autoRedefine/>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Char1 Char Char Char"/>
    <w:basedOn w:val="1"/>
    <w:link w:val="13"/>
    <w:autoRedefine/>
    <w:qFormat/>
    <w:uiPriority w:val="99"/>
    <w:pPr>
      <w:spacing w:line="360" w:lineRule="auto"/>
    </w:pPr>
  </w:style>
  <w:style w:type="character" w:styleId="15">
    <w:name w:val="Strong"/>
    <w:basedOn w:val="13"/>
    <w:autoRedefine/>
    <w:qFormat/>
    <w:uiPriority w:val="99"/>
    <w:rPr>
      <w:b/>
      <w:bCs/>
    </w:rPr>
  </w:style>
  <w:style w:type="character" w:styleId="16">
    <w:name w:val="page number"/>
    <w:basedOn w:val="13"/>
    <w:autoRedefine/>
    <w:qFormat/>
    <w:uiPriority w:val="0"/>
  </w:style>
  <w:style w:type="character" w:customStyle="1" w:styleId="17">
    <w:name w:val="Heading 1 Char"/>
    <w:basedOn w:val="13"/>
    <w:link w:val="2"/>
    <w:autoRedefine/>
    <w:qFormat/>
    <w:locked/>
    <w:uiPriority w:val="99"/>
    <w:rPr>
      <w:b/>
      <w:bCs/>
      <w:kern w:val="1"/>
      <w:sz w:val="44"/>
      <w:szCs w:val="44"/>
      <w:lang w:eastAsia="ar-SA" w:bidi="ar-SA"/>
    </w:rPr>
  </w:style>
  <w:style w:type="character" w:customStyle="1" w:styleId="18">
    <w:name w:val="Heading 3 Char"/>
    <w:basedOn w:val="13"/>
    <w:link w:val="3"/>
    <w:qFormat/>
    <w:locked/>
    <w:uiPriority w:val="99"/>
    <w:rPr>
      <w:b/>
      <w:bCs/>
      <w:kern w:val="21"/>
      <w:sz w:val="32"/>
      <w:szCs w:val="32"/>
      <w:lang w:eastAsia="ar-SA" w:bidi="ar-SA"/>
    </w:rPr>
  </w:style>
  <w:style w:type="character" w:customStyle="1" w:styleId="19">
    <w:name w:val="Body Text Char"/>
    <w:basedOn w:val="13"/>
    <w:link w:val="5"/>
    <w:autoRedefine/>
    <w:qFormat/>
    <w:locked/>
    <w:uiPriority w:val="99"/>
    <w:rPr>
      <w:kern w:val="2"/>
      <w:sz w:val="24"/>
      <w:szCs w:val="24"/>
    </w:rPr>
  </w:style>
  <w:style w:type="character" w:customStyle="1" w:styleId="20">
    <w:name w:val="Date Char"/>
    <w:basedOn w:val="13"/>
    <w:link w:val="6"/>
    <w:autoRedefine/>
    <w:semiHidden/>
    <w:qFormat/>
    <w:locked/>
    <w:uiPriority w:val="99"/>
    <w:rPr>
      <w:kern w:val="2"/>
      <w:sz w:val="24"/>
      <w:szCs w:val="24"/>
    </w:rPr>
  </w:style>
  <w:style w:type="character" w:customStyle="1" w:styleId="21">
    <w:name w:val="Balloon Text Char"/>
    <w:basedOn w:val="13"/>
    <w:link w:val="7"/>
    <w:autoRedefine/>
    <w:semiHidden/>
    <w:qFormat/>
    <w:locked/>
    <w:uiPriority w:val="99"/>
    <w:rPr>
      <w:kern w:val="2"/>
      <w:sz w:val="18"/>
      <w:szCs w:val="18"/>
    </w:rPr>
  </w:style>
  <w:style w:type="character" w:customStyle="1" w:styleId="22">
    <w:name w:val="Footer Char"/>
    <w:basedOn w:val="13"/>
    <w:link w:val="8"/>
    <w:autoRedefine/>
    <w:qFormat/>
    <w:locked/>
    <w:uiPriority w:val="99"/>
    <w:rPr>
      <w:sz w:val="18"/>
      <w:szCs w:val="18"/>
    </w:rPr>
  </w:style>
  <w:style w:type="character" w:customStyle="1" w:styleId="23">
    <w:name w:val="Header Char"/>
    <w:basedOn w:val="13"/>
    <w:link w:val="9"/>
    <w:autoRedefine/>
    <w:qFormat/>
    <w:locked/>
    <w:uiPriority w:val="99"/>
    <w:rPr>
      <w:sz w:val="18"/>
      <w:szCs w:val="18"/>
    </w:rPr>
  </w:style>
  <w:style w:type="paragraph" w:customStyle="1" w:styleId="24">
    <w:name w:val="正文首行缩进 21"/>
    <w:basedOn w:val="25"/>
    <w:next w:val="10"/>
    <w:autoRedefine/>
    <w:qFormat/>
    <w:uiPriority w:val="99"/>
    <w:rPr>
      <w:sz w:val="32"/>
      <w:szCs w:val="32"/>
    </w:rPr>
  </w:style>
  <w:style w:type="paragraph" w:customStyle="1" w:styleId="25">
    <w:name w:val="正文文本缩进1"/>
    <w:basedOn w:val="1"/>
    <w:autoRedefine/>
    <w:qFormat/>
    <w:uiPriority w:val="99"/>
    <w:pPr>
      <w:ind w:left="200" w:leftChars="200"/>
    </w:pPr>
  </w:style>
  <w:style w:type="paragraph" w:styleId="26">
    <w:name w:val="List Paragraph"/>
    <w:basedOn w:val="1"/>
    <w:autoRedefine/>
    <w:qFormat/>
    <w:uiPriority w:val="99"/>
    <w:pPr>
      <w:suppressAutoHyphens/>
      <w:ind w:firstLine="420" w:firstLineChars="200"/>
    </w:pPr>
    <w:rPr>
      <w:kern w:val="21"/>
      <w:lang w:eastAsia="ar-SA"/>
    </w:rPr>
  </w:style>
  <w:style w:type="paragraph" w:customStyle="1" w:styleId="27">
    <w:name w:val="段"/>
    <w:link w:val="28"/>
    <w:autoRedefine/>
    <w:qFormat/>
    <w:uiPriority w:val="99"/>
    <w:pPr>
      <w:tabs>
        <w:tab w:val="center" w:pos="4201"/>
        <w:tab w:val="right" w:leader="dot" w:pos="9298"/>
      </w:tabs>
      <w:autoSpaceDE w:val="0"/>
      <w:autoSpaceDN w:val="0"/>
      <w:ind w:firstLine="420" w:firstLineChars="200"/>
      <w:jc w:val="both"/>
    </w:pPr>
    <w:rPr>
      <w:rFonts w:ascii="宋体" w:hAnsi="Times New Roman" w:eastAsia="宋体" w:cs="宋体"/>
      <w:kern w:val="0"/>
      <w:sz w:val="21"/>
      <w:szCs w:val="21"/>
      <w:lang w:val="en-US" w:eastAsia="zh-CN" w:bidi="ar-SA"/>
    </w:rPr>
  </w:style>
  <w:style w:type="character" w:customStyle="1" w:styleId="28">
    <w:name w:val="段 Char"/>
    <w:link w:val="27"/>
    <w:autoRedefine/>
    <w:qFormat/>
    <w:locked/>
    <w:uiPriority w:val="99"/>
    <w:rPr>
      <w:rFonts w:ascii="宋体" w:cs="宋体"/>
      <w:sz w:val="21"/>
      <w:szCs w:val="21"/>
      <w:lang w:val="en-US" w:eastAsia="zh-CN"/>
    </w:rPr>
  </w:style>
  <w:style w:type="table" w:customStyle="1" w:styleId="29">
    <w:name w:val="浅色底纹1"/>
    <w:autoRedefine/>
    <w:qFormat/>
    <w:uiPriority w:val="99"/>
    <w:rPr>
      <w:color w:val="000000"/>
      <w:kern w:val="0"/>
      <w:sz w:val="20"/>
      <w:szCs w:val="2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pPr>
      <w:rPr>
        <w:b/>
        <w:bCs/>
      </w:rPr>
      <w:tcPr>
        <w:tcBorders>
          <w:top w:val="single" w:color="000000" w:sz="8" w:space="0"/>
          <w:left w:val="nil"/>
          <w:bottom w:val="single" w:color="000000" w:sz="8" w:space="0"/>
          <w:right w:val="nil"/>
          <w:insideH w:val="nil"/>
          <w:insideV w:val="nil"/>
        </w:tcBorders>
      </w:tcPr>
    </w:tblStylePr>
    <w:tblStylePr w:type="lastRow">
      <w:pPr>
        <w:spacing w:before="0" w:after="0"/>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30">
    <w:name w:val="浅色底纹2"/>
    <w:autoRedefine/>
    <w:qFormat/>
    <w:uiPriority w:val="99"/>
    <w:rPr>
      <w:color w:val="000000"/>
      <w:kern w:val="0"/>
      <w:sz w:val="20"/>
      <w:szCs w:val="20"/>
    </w:rPr>
    <w:tblPr>
      <w:tblBorders>
        <w:top w:val="single" w:color="000000" w:sz="8" w:space="0"/>
        <w:bottom w:val="single" w:color="000000" w:sz="8" w:space="0"/>
      </w:tblBorders>
      <w:tblCellMar>
        <w:top w:w="0" w:type="dxa"/>
        <w:left w:w="108" w:type="dxa"/>
        <w:bottom w:w="0" w:type="dxa"/>
        <w:right w:w="108" w:type="dxa"/>
      </w:tblCellMar>
    </w:tblPr>
    <w:tblStylePr w:type="firstRow">
      <w:pPr>
        <w:spacing w:before="0" w:after="0"/>
      </w:pPr>
      <w:rPr>
        <w:b/>
        <w:bCs/>
      </w:rPr>
      <w:tcPr>
        <w:tcBorders>
          <w:top w:val="single" w:color="000000" w:sz="8" w:space="0"/>
          <w:left w:val="nil"/>
          <w:bottom w:val="single" w:color="000000" w:sz="8" w:space="0"/>
          <w:right w:val="nil"/>
          <w:insideH w:val="nil"/>
          <w:insideV w:val="nil"/>
        </w:tcBorders>
      </w:tcPr>
    </w:tblStylePr>
    <w:tblStylePr w:type="lastRow">
      <w:pPr>
        <w:spacing w:before="0" w:after="0"/>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paragraph" w:customStyle="1" w:styleId="31">
    <w:name w:val="标准文件_段"/>
    <w:link w:val="32"/>
    <w:autoRedefine/>
    <w:qFormat/>
    <w:uiPriority w:val="99"/>
    <w:pPr>
      <w:autoSpaceDE w:val="0"/>
      <w:autoSpaceDN w:val="0"/>
      <w:ind w:firstLine="200" w:firstLineChars="200"/>
      <w:jc w:val="both"/>
    </w:pPr>
    <w:rPr>
      <w:rFonts w:ascii="宋体" w:hAnsi="Times New Roman" w:eastAsia="宋体" w:cs="宋体"/>
      <w:kern w:val="0"/>
      <w:sz w:val="21"/>
      <w:szCs w:val="21"/>
      <w:lang w:val="en-US" w:eastAsia="zh-CN" w:bidi="ar-SA"/>
    </w:rPr>
  </w:style>
  <w:style w:type="character" w:customStyle="1" w:styleId="32">
    <w:name w:val="标准文件_段 Char"/>
    <w:link w:val="31"/>
    <w:autoRedefine/>
    <w:qFormat/>
    <w:locked/>
    <w:uiPriority w:val="99"/>
    <w:rPr>
      <w:rFonts w:ascii="宋体" w:cs="宋体"/>
      <w:sz w:val="21"/>
      <w:szCs w:val="21"/>
    </w:rPr>
  </w:style>
  <w:style w:type="paragraph" w:customStyle="1" w:styleId="33">
    <w:name w:val="标准文件_二级条标题"/>
    <w:next w:val="31"/>
    <w:autoRedefine/>
    <w:qFormat/>
    <w:uiPriority w:val="99"/>
    <w:pPr>
      <w:widowControl w:val="0"/>
      <w:numPr>
        <w:ilvl w:val="3"/>
        <w:numId w:val="1"/>
      </w:numPr>
      <w:spacing w:beforeLines="50" w:afterLines="50"/>
      <w:jc w:val="both"/>
      <w:outlineLvl w:val="2"/>
    </w:pPr>
    <w:rPr>
      <w:rFonts w:ascii="黑体" w:hAnsi="Times New Roman" w:eastAsia="黑体" w:cs="黑体"/>
      <w:kern w:val="0"/>
      <w:sz w:val="21"/>
      <w:szCs w:val="21"/>
      <w:lang w:val="en-US" w:eastAsia="zh-CN" w:bidi="ar-SA"/>
    </w:rPr>
  </w:style>
  <w:style w:type="paragraph" w:customStyle="1" w:styleId="34">
    <w:name w:val="标准文件_三级条标题"/>
    <w:basedOn w:val="33"/>
    <w:next w:val="31"/>
    <w:qFormat/>
    <w:uiPriority w:val="99"/>
    <w:pPr>
      <w:widowControl/>
      <w:numPr>
        <w:ilvl w:val="4"/>
      </w:numPr>
      <w:outlineLvl w:val="3"/>
    </w:pPr>
  </w:style>
  <w:style w:type="paragraph" w:customStyle="1" w:styleId="35">
    <w:name w:val="标准文件_四级条标题"/>
    <w:next w:val="31"/>
    <w:autoRedefine/>
    <w:qFormat/>
    <w:uiPriority w:val="99"/>
    <w:pPr>
      <w:widowControl w:val="0"/>
      <w:numPr>
        <w:ilvl w:val="5"/>
        <w:numId w:val="1"/>
      </w:numPr>
      <w:spacing w:beforeLines="50" w:afterLines="50"/>
      <w:jc w:val="both"/>
      <w:outlineLvl w:val="4"/>
    </w:pPr>
    <w:rPr>
      <w:rFonts w:ascii="黑体" w:hAnsi="Times New Roman" w:eastAsia="黑体" w:cs="黑体"/>
      <w:kern w:val="0"/>
      <w:sz w:val="21"/>
      <w:szCs w:val="21"/>
      <w:lang w:val="en-US" w:eastAsia="zh-CN" w:bidi="ar-SA"/>
    </w:rPr>
  </w:style>
  <w:style w:type="paragraph" w:customStyle="1" w:styleId="36">
    <w:name w:val="标准文件_五级条标题"/>
    <w:next w:val="31"/>
    <w:autoRedefine/>
    <w:qFormat/>
    <w:uiPriority w:val="99"/>
    <w:pPr>
      <w:widowControl w:val="0"/>
      <w:numPr>
        <w:ilvl w:val="6"/>
        <w:numId w:val="1"/>
      </w:numPr>
      <w:spacing w:beforeLines="50" w:afterLines="50"/>
      <w:jc w:val="both"/>
      <w:outlineLvl w:val="5"/>
    </w:pPr>
    <w:rPr>
      <w:rFonts w:ascii="黑体" w:hAnsi="Times New Roman" w:eastAsia="黑体" w:cs="黑体"/>
      <w:kern w:val="0"/>
      <w:sz w:val="21"/>
      <w:szCs w:val="21"/>
      <w:lang w:val="en-US" w:eastAsia="zh-CN" w:bidi="ar-SA"/>
    </w:rPr>
  </w:style>
  <w:style w:type="paragraph" w:customStyle="1" w:styleId="37">
    <w:name w:val="标准文件_章标题"/>
    <w:next w:val="31"/>
    <w:autoRedefine/>
    <w:qFormat/>
    <w:uiPriority w:val="99"/>
    <w:pPr>
      <w:numPr>
        <w:ilvl w:val="1"/>
        <w:numId w:val="1"/>
      </w:numPr>
      <w:spacing w:beforeLines="100" w:afterLines="100"/>
      <w:jc w:val="both"/>
      <w:outlineLvl w:val="0"/>
    </w:pPr>
    <w:rPr>
      <w:rFonts w:ascii="黑体" w:hAnsi="Times New Roman" w:eastAsia="黑体" w:cs="黑体"/>
      <w:kern w:val="0"/>
      <w:sz w:val="21"/>
      <w:szCs w:val="21"/>
      <w:lang w:val="en-US" w:eastAsia="zh-CN" w:bidi="ar-SA"/>
    </w:rPr>
  </w:style>
  <w:style w:type="paragraph" w:customStyle="1" w:styleId="38">
    <w:name w:val="标准文件_一级条标题"/>
    <w:basedOn w:val="37"/>
    <w:next w:val="31"/>
    <w:autoRedefine/>
    <w:qFormat/>
    <w:uiPriority w:val="99"/>
    <w:pPr>
      <w:numPr>
        <w:ilvl w:val="2"/>
      </w:numPr>
      <w:spacing w:beforeLines="50" w:afterLines="50"/>
      <w:outlineLvl w:val="1"/>
    </w:pPr>
  </w:style>
  <w:style w:type="paragraph" w:customStyle="1" w:styleId="39">
    <w:name w:val="前言标题"/>
    <w:next w:val="1"/>
    <w:autoRedefine/>
    <w:qFormat/>
    <w:uiPriority w:val="99"/>
    <w:pPr>
      <w:numPr>
        <w:ilvl w:val="0"/>
        <w:numId w:val="1"/>
      </w:numPr>
      <w:shd w:val="clear" w:color="FFFFFF" w:fill="FFFFFF"/>
      <w:spacing w:before="540" w:after="600"/>
      <w:jc w:val="center"/>
      <w:outlineLvl w:val="0"/>
    </w:pPr>
    <w:rPr>
      <w:rFonts w:ascii="黑体" w:hAnsi="Times New Roman" w:eastAsia="黑体" w:cs="黑体"/>
      <w:kern w:val="0"/>
      <w:sz w:val="32"/>
      <w:szCs w:val="32"/>
      <w:lang w:val="en-US" w:eastAsia="zh-CN" w:bidi="ar-SA"/>
    </w:rPr>
  </w:style>
  <w:style w:type="paragraph" w:customStyle="1" w:styleId="40">
    <w:name w:val="正文1"/>
    <w:autoRedefine/>
    <w:qFormat/>
    <w:uiPriority w:val="99"/>
    <w:pPr>
      <w:jc w:val="both"/>
    </w:pPr>
    <w:rPr>
      <w:rFonts w:ascii="Calibri" w:hAnsi="Calibri" w:eastAsia="宋体" w:cs="Calibri"/>
      <w:kern w:val="2"/>
      <w:sz w:val="21"/>
      <w:szCs w:val="21"/>
      <w:lang w:val="en-US" w:eastAsia="zh-CN" w:bidi="ar-SA"/>
    </w:rPr>
  </w:style>
  <w:style w:type="paragraph" w:customStyle="1" w:styleId="41">
    <w:name w:val=" Char1 Char Char Char"/>
    <w:basedOn w:val="1"/>
    <w:qFormat/>
    <w:uiPriority w:val="0"/>
    <w:pPr>
      <w:spacing w:line="360" w:lineRule="auto"/>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emf"/><Relationship Id="rId7" Type="http://schemas.openxmlformats.org/officeDocument/2006/relationships/oleObject" Target="embeddings/oleObject1.bin"/><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Lenovo</Company>
  <Pages>9</Pages>
  <Words>5046</Words>
  <Characters>5522</Characters>
  <Lines>0</Lines>
  <Paragraphs>0</Paragraphs>
  <TotalTime>8</TotalTime>
  <ScaleCrop>false</ScaleCrop>
  <LinksUpToDate>false</LinksUpToDate>
  <CharactersWithSpaces>5886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2016-02-23T07:17:00Z</dcterms:created>
  <dc:creator>lenovo</dc:creator>
  <cp:lastModifiedBy>露</cp:lastModifiedBy>
  <cp:lastPrinted>2024-08-02T06:49:34Z</cp:lastPrinted>
  <dcterms:modified xsi:type="dcterms:W3CDTF">2024-08-02T06:49:49Z</dcterms:modified>
  <cp:revision>563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9F71B675824C4256B8F308B37BFEE201_12</vt:lpwstr>
  </property>
</Properties>
</file>